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2F0D9" w14:textId="77777777" w:rsidR="00111F1D" w:rsidRPr="002006F6" w:rsidRDefault="00111F1D" w:rsidP="00111F1D">
      <w:pPr>
        <w:pStyle w:val="MainText"/>
        <w:ind w:left="0"/>
        <w:rPr>
          <w:rFonts w:ascii="Arial" w:hAnsi="Arial" w:cs="Arial"/>
          <w:szCs w:val="28"/>
        </w:rPr>
      </w:pPr>
    </w:p>
    <w:p w14:paraId="21FEA0E1" w14:textId="77777777" w:rsidR="00111F1D" w:rsidRPr="002006F6" w:rsidRDefault="00111F1D" w:rsidP="00111F1D">
      <w:pPr>
        <w:pStyle w:val="MainText"/>
        <w:ind w:left="0"/>
        <w:rPr>
          <w:rFonts w:ascii="Arial" w:hAnsi="Arial" w:cs="Arial"/>
        </w:rPr>
      </w:pPr>
    </w:p>
    <w:p w14:paraId="6F5483BA" w14:textId="636422B0" w:rsidR="00AB7031" w:rsidRPr="002006F6" w:rsidRDefault="00AB7031" w:rsidP="00AB7031">
      <w:pPr>
        <w:pStyle w:val="ColorfulList-Accent11"/>
        <w:spacing w:line="360" w:lineRule="atLeast"/>
        <w:jc w:val="center"/>
        <w:rPr>
          <w:rFonts w:cs="Arial"/>
          <w:b/>
          <w:sz w:val="32"/>
          <w:szCs w:val="32"/>
        </w:rPr>
      </w:pPr>
      <w:r w:rsidRPr="002006F6">
        <w:rPr>
          <w:rFonts w:cs="Arial"/>
          <w:b/>
          <w:sz w:val="32"/>
          <w:szCs w:val="32"/>
        </w:rPr>
        <w:t>CBRE</w:t>
      </w:r>
      <w:r w:rsidR="00582A72" w:rsidRPr="002006F6">
        <w:rPr>
          <w:rFonts w:cs="Arial"/>
          <w:b/>
          <w:sz w:val="32"/>
          <w:szCs w:val="32"/>
        </w:rPr>
        <w:t xml:space="preserve">: Objem realitních investic v roce 2017 </w:t>
      </w:r>
      <w:r w:rsidR="007C29AB">
        <w:rPr>
          <w:rFonts w:cs="Arial"/>
          <w:b/>
          <w:sz w:val="32"/>
          <w:szCs w:val="32"/>
        </w:rPr>
        <w:t>by mohl překročit</w:t>
      </w:r>
      <w:r w:rsidR="00582A72" w:rsidRPr="002006F6">
        <w:rPr>
          <w:rFonts w:cs="Arial"/>
          <w:b/>
          <w:sz w:val="32"/>
          <w:szCs w:val="32"/>
        </w:rPr>
        <w:t xml:space="preserve"> </w:t>
      </w:r>
      <w:r w:rsidR="00FB160F">
        <w:rPr>
          <w:rFonts w:cs="Arial"/>
          <w:b/>
          <w:sz w:val="32"/>
          <w:szCs w:val="32"/>
        </w:rPr>
        <w:t xml:space="preserve">hranici </w:t>
      </w:r>
      <w:r w:rsidR="00582A72" w:rsidRPr="002006F6">
        <w:rPr>
          <w:rFonts w:cs="Arial"/>
          <w:b/>
          <w:sz w:val="32"/>
          <w:szCs w:val="32"/>
        </w:rPr>
        <w:t xml:space="preserve">3 mld. EUR </w:t>
      </w:r>
    </w:p>
    <w:p w14:paraId="6530BB06" w14:textId="477C91B4" w:rsidR="002006F6" w:rsidRDefault="00AB7031" w:rsidP="00DD477E">
      <w:pPr>
        <w:numPr>
          <w:ilvl w:val="0"/>
          <w:numId w:val="3"/>
        </w:numPr>
        <w:spacing w:after="200" w:line="360" w:lineRule="atLeast"/>
        <w:contextualSpacing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006F6">
        <w:rPr>
          <w:rFonts w:ascii="Arial" w:hAnsi="Arial" w:cs="Arial"/>
          <w:b/>
          <w:sz w:val="22"/>
          <w:szCs w:val="22"/>
        </w:rPr>
        <w:t>Investment</w:t>
      </w:r>
      <w:proofErr w:type="spellEnd"/>
      <w:r w:rsidRPr="002006F6">
        <w:rPr>
          <w:rFonts w:ascii="Arial" w:hAnsi="Arial" w:cs="Arial"/>
          <w:b/>
          <w:sz w:val="22"/>
          <w:szCs w:val="22"/>
        </w:rPr>
        <w:t xml:space="preserve">: </w:t>
      </w:r>
      <w:r w:rsidR="002006F6">
        <w:rPr>
          <w:rFonts w:ascii="Arial" w:hAnsi="Arial" w:cs="Arial"/>
          <w:b/>
          <w:sz w:val="22"/>
          <w:szCs w:val="22"/>
        </w:rPr>
        <w:t>V roce 2017 bude pokračovat s</w:t>
      </w:r>
      <w:r w:rsidR="002006F6" w:rsidRPr="002006F6">
        <w:rPr>
          <w:rFonts w:ascii="Arial" w:hAnsi="Arial" w:cs="Arial"/>
          <w:b/>
          <w:sz w:val="22"/>
          <w:szCs w:val="22"/>
        </w:rPr>
        <w:t>ilná poptáv</w:t>
      </w:r>
      <w:r w:rsidR="002006F6">
        <w:rPr>
          <w:rFonts w:ascii="Arial" w:hAnsi="Arial" w:cs="Arial"/>
          <w:b/>
          <w:sz w:val="22"/>
          <w:szCs w:val="22"/>
        </w:rPr>
        <w:t>ka napříč všemi sektory</w:t>
      </w:r>
      <w:r w:rsidR="00FB160F">
        <w:rPr>
          <w:rFonts w:ascii="Arial" w:hAnsi="Arial" w:cs="Arial"/>
          <w:b/>
          <w:sz w:val="22"/>
          <w:szCs w:val="22"/>
        </w:rPr>
        <w:t>. CBRE predikuje</w:t>
      </w:r>
      <w:r w:rsidR="002006F6">
        <w:rPr>
          <w:rFonts w:ascii="Arial" w:hAnsi="Arial" w:cs="Arial"/>
          <w:b/>
          <w:sz w:val="22"/>
          <w:szCs w:val="22"/>
        </w:rPr>
        <w:t xml:space="preserve">, že objem investic opět překročí hranici 3 mld. EUR. Investicím bude v tomto roce dominovat maloobchodní sektor. </w:t>
      </w:r>
    </w:p>
    <w:p w14:paraId="3ED45EE7" w14:textId="4D54A71A" w:rsidR="002006F6" w:rsidRDefault="002006F6" w:rsidP="00DD477E">
      <w:pPr>
        <w:numPr>
          <w:ilvl w:val="0"/>
          <w:numId w:val="3"/>
        </w:numPr>
        <w:spacing w:after="200" w:line="360" w:lineRule="atLeast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Kanceláře</w:t>
      </w:r>
      <w:r w:rsidR="00AB7031" w:rsidRPr="002006F6">
        <w:rPr>
          <w:rFonts w:ascii="Arial" w:hAnsi="Arial" w:cs="Arial"/>
          <w:b/>
          <w:sz w:val="22"/>
          <w:szCs w:val="22"/>
        </w:rPr>
        <w:t xml:space="preserve">: </w:t>
      </w:r>
      <w:r w:rsidRPr="002006F6">
        <w:rPr>
          <w:rFonts w:ascii="Arial" w:hAnsi="Arial" w:cs="Arial"/>
          <w:b/>
          <w:sz w:val="22"/>
          <w:szCs w:val="22"/>
        </w:rPr>
        <w:t>Kancelářský trh v Praze zažívá jeden z nejsilnějších roků ve své historii a</w:t>
      </w:r>
      <w:r w:rsidR="00B813D5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 xml:space="preserve">tento pozitivní trend bude </w:t>
      </w:r>
      <w:r w:rsidRPr="002006F6">
        <w:rPr>
          <w:rFonts w:ascii="Arial" w:hAnsi="Arial" w:cs="Arial"/>
          <w:b/>
          <w:sz w:val="22"/>
          <w:szCs w:val="22"/>
        </w:rPr>
        <w:t xml:space="preserve">pokračovat </w:t>
      </w:r>
      <w:r>
        <w:rPr>
          <w:rFonts w:ascii="Arial" w:hAnsi="Arial" w:cs="Arial"/>
          <w:b/>
          <w:sz w:val="22"/>
          <w:szCs w:val="22"/>
        </w:rPr>
        <w:t>i v roce</w:t>
      </w:r>
      <w:r w:rsidRPr="002006F6">
        <w:rPr>
          <w:rFonts w:ascii="Arial" w:hAnsi="Arial" w:cs="Arial"/>
          <w:b/>
          <w:sz w:val="22"/>
          <w:szCs w:val="22"/>
        </w:rPr>
        <w:t xml:space="preserve"> 2017.</w:t>
      </w:r>
    </w:p>
    <w:p w14:paraId="2FC10623" w14:textId="7DC34984" w:rsidR="00AB7031" w:rsidRPr="002006F6" w:rsidRDefault="002006F6" w:rsidP="00DD477E">
      <w:pPr>
        <w:numPr>
          <w:ilvl w:val="0"/>
          <w:numId w:val="3"/>
        </w:numPr>
        <w:spacing w:after="200" w:line="360" w:lineRule="atLeast"/>
        <w:contextualSpacing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Industrial</w:t>
      </w:r>
      <w:proofErr w:type="spellEnd"/>
      <w:r w:rsidR="00AB7031" w:rsidRPr="002006F6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Očekáváme, že industriální</w:t>
      </w:r>
      <w:r w:rsidRPr="002006F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 w:rsidRPr="002006F6">
        <w:rPr>
          <w:rFonts w:ascii="Arial" w:hAnsi="Arial" w:cs="Arial"/>
          <w:b/>
          <w:sz w:val="22"/>
          <w:szCs w:val="22"/>
        </w:rPr>
        <w:t xml:space="preserve"> logistický trh </w:t>
      </w:r>
      <w:r>
        <w:rPr>
          <w:rFonts w:ascii="Arial" w:hAnsi="Arial" w:cs="Arial"/>
          <w:b/>
          <w:sz w:val="22"/>
          <w:szCs w:val="22"/>
        </w:rPr>
        <w:t xml:space="preserve">bude mít i v příštím roce skvělé výsledky. </w:t>
      </w:r>
      <w:r w:rsidR="00304CBE">
        <w:rPr>
          <w:rFonts w:ascii="Arial" w:hAnsi="Arial" w:cs="Arial"/>
          <w:b/>
          <w:sz w:val="22"/>
          <w:szCs w:val="22"/>
        </w:rPr>
        <w:t>Z pohledu poptávky</w:t>
      </w:r>
      <w:r w:rsidR="00E046D4">
        <w:rPr>
          <w:rFonts w:ascii="Arial" w:hAnsi="Arial" w:cs="Arial"/>
          <w:b/>
          <w:sz w:val="22"/>
          <w:szCs w:val="22"/>
        </w:rPr>
        <w:t xml:space="preserve"> po in</w:t>
      </w:r>
      <w:r w:rsidR="00304CBE">
        <w:rPr>
          <w:rFonts w:ascii="Arial" w:hAnsi="Arial" w:cs="Arial"/>
          <w:b/>
          <w:sz w:val="22"/>
          <w:szCs w:val="22"/>
        </w:rPr>
        <w:t>dustriálních nemovitostech se roky</w:t>
      </w:r>
      <w:r w:rsidR="00E046D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2016 i 2017 </w:t>
      </w:r>
      <w:r w:rsidR="00304CBE">
        <w:rPr>
          <w:rFonts w:ascii="Arial" w:hAnsi="Arial" w:cs="Arial"/>
          <w:b/>
          <w:sz w:val="22"/>
          <w:szCs w:val="22"/>
        </w:rPr>
        <w:t>stanou</w:t>
      </w:r>
      <w:r w:rsidR="00E046D4">
        <w:rPr>
          <w:rFonts w:ascii="Arial" w:hAnsi="Arial" w:cs="Arial"/>
          <w:b/>
          <w:sz w:val="22"/>
          <w:szCs w:val="22"/>
        </w:rPr>
        <w:t xml:space="preserve"> rekordními</w:t>
      </w:r>
      <w:r w:rsidR="00304CBE">
        <w:rPr>
          <w:rFonts w:ascii="Arial" w:hAnsi="Arial" w:cs="Arial"/>
          <w:b/>
          <w:sz w:val="22"/>
          <w:szCs w:val="22"/>
        </w:rPr>
        <w:t xml:space="preserve"> roky</w:t>
      </w:r>
      <w:r w:rsidR="00E046D4">
        <w:rPr>
          <w:rFonts w:ascii="Arial" w:hAnsi="Arial" w:cs="Arial"/>
          <w:b/>
          <w:sz w:val="22"/>
          <w:szCs w:val="22"/>
        </w:rPr>
        <w:t>.</w:t>
      </w:r>
    </w:p>
    <w:p w14:paraId="520B5425" w14:textId="460C0E83" w:rsidR="00E85D49" w:rsidRDefault="00E046D4" w:rsidP="00DD477E">
      <w:pPr>
        <w:numPr>
          <w:ilvl w:val="0"/>
          <w:numId w:val="3"/>
        </w:numPr>
        <w:spacing w:after="200" w:line="360" w:lineRule="atLeast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Maloobchod</w:t>
      </w:r>
      <w:r w:rsidR="00AB7031" w:rsidRPr="002006F6">
        <w:rPr>
          <w:rFonts w:ascii="Arial" w:hAnsi="Arial" w:cs="Arial"/>
          <w:b/>
          <w:sz w:val="22"/>
          <w:szCs w:val="22"/>
        </w:rPr>
        <w:t xml:space="preserve">: </w:t>
      </w:r>
      <w:r w:rsidR="00A774E4">
        <w:rPr>
          <w:rFonts w:ascii="Arial" w:hAnsi="Arial" w:cs="Arial"/>
          <w:b/>
          <w:sz w:val="22"/>
          <w:szCs w:val="22"/>
        </w:rPr>
        <w:t>Také v malo</w:t>
      </w:r>
      <w:r w:rsidR="002C5416">
        <w:rPr>
          <w:rFonts w:ascii="Arial" w:hAnsi="Arial" w:cs="Arial"/>
          <w:b/>
          <w:sz w:val="22"/>
          <w:szCs w:val="22"/>
        </w:rPr>
        <w:t>o</w:t>
      </w:r>
      <w:r w:rsidR="00A774E4">
        <w:rPr>
          <w:rFonts w:ascii="Arial" w:hAnsi="Arial" w:cs="Arial"/>
          <w:b/>
          <w:sz w:val="22"/>
          <w:szCs w:val="22"/>
        </w:rPr>
        <w:t xml:space="preserve">bchodním sektoru pokračuje optimismus. Příznivé podmínky na trhu práce podporují </w:t>
      </w:r>
      <w:r w:rsidR="00247315">
        <w:rPr>
          <w:rFonts w:ascii="Arial" w:hAnsi="Arial" w:cs="Arial"/>
          <w:b/>
          <w:sz w:val="22"/>
          <w:szCs w:val="22"/>
        </w:rPr>
        <w:t>vysokou spotřebitelskou důvěru</w:t>
      </w:r>
      <w:r w:rsidR="00B813D5">
        <w:rPr>
          <w:rFonts w:ascii="Arial" w:hAnsi="Arial" w:cs="Arial"/>
          <w:b/>
          <w:sz w:val="22"/>
          <w:szCs w:val="22"/>
        </w:rPr>
        <w:t>.</w:t>
      </w:r>
      <w:r w:rsidR="00247315">
        <w:rPr>
          <w:rFonts w:ascii="Arial" w:hAnsi="Arial" w:cs="Arial"/>
          <w:b/>
          <w:sz w:val="22"/>
          <w:szCs w:val="22"/>
        </w:rPr>
        <w:t xml:space="preserve"> </w:t>
      </w:r>
      <w:r w:rsidR="00B813D5">
        <w:rPr>
          <w:rFonts w:ascii="Arial" w:hAnsi="Arial" w:cs="Arial"/>
          <w:b/>
          <w:sz w:val="22"/>
          <w:szCs w:val="22"/>
        </w:rPr>
        <w:t>P</w:t>
      </w:r>
      <w:r w:rsidR="00FB160F">
        <w:rPr>
          <w:rFonts w:ascii="Arial" w:hAnsi="Arial" w:cs="Arial"/>
          <w:b/>
          <w:sz w:val="22"/>
          <w:szCs w:val="22"/>
        </w:rPr>
        <w:t xml:space="preserve">rotože </w:t>
      </w:r>
      <w:r w:rsidR="00304CBE">
        <w:rPr>
          <w:rFonts w:ascii="Arial" w:hAnsi="Arial" w:cs="Arial"/>
          <w:b/>
          <w:sz w:val="22"/>
          <w:szCs w:val="22"/>
        </w:rPr>
        <w:t xml:space="preserve">na pracovním trhu jsou </w:t>
      </w:r>
      <w:r w:rsidR="00FB160F">
        <w:rPr>
          <w:rFonts w:ascii="Arial" w:hAnsi="Arial" w:cs="Arial"/>
          <w:b/>
          <w:sz w:val="22"/>
          <w:szCs w:val="22"/>
        </w:rPr>
        <w:t>p</w:t>
      </w:r>
      <w:r w:rsidR="00E85D49" w:rsidRPr="00E85D49">
        <w:rPr>
          <w:rFonts w:ascii="Arial" w:hAnsi="Arial" w:cs="Arial"/>
          <w:b/>
          <w:sz w:val="22"/>
          <w:szCs w:val="22"/>
        </w:rPr>
        <w:t>říznivé podmínky</w:t>
      </w:r>
      <w:r w:rsidR="00304CBE">
        <w:rPr>
          <w:rFonts w:ascii="Arial" w:hAnsi="Arial" w:cs="Arial"/>
          <w:b/>
          <w:sz w:val="22"/>
          <w:szCs w:val="22"/>
        </w:rPr>
        <w:t>, bude</w:t>
      </w:r>
      <w:r w:rsidR="00E85D49" w:rsidRPr="00E85D49">
        <w:rPr>
          <w:rFonts w:ascii="Arial" w:hAnsi="Arial" w:cs="Arial"/>
          <w:b/>
          <w:sz w:val="22"/>
          <w:szCs w:val="22"/>
        </w:rPr>
        <w:t xml:space="preserve"> </w:t>
      </w:r>
      <w:r w:rsidR="00304CBE">
        <w:rPr>
          <w:rFonts w:ascii="Arial" w:hAnsi="Arial" w:cs="Arial"/>
          <w:b/>
          <w:sz w:val="22"/>
          <w:szCs w:val="22"/>
        </w:rPr>
        <w:t>p</w:t>
      </w:r>
      <w:r w:rsidR="00304CBE" w:rsidRPr="00E85D49">
        <w:rPr>
          <w:rFonts w:ascii="Arial" w:hAnsi="Arial" w:cs="Arial"/>
          <w:b/>
          <w:sz w:val="22"/>
          <w:szCs w:val="22"/>
        </w:rPr>
        <w:t xml:space="preserve">ozitivní </w:t>
      </w:r>
      <w:r w:rsidR="00304CBE">
        <w:rPr>
          <w:rFonts w:ascii="Arial" w:hAnsi="Arial" w:cs="Arial"/>
          <w:b/>
          <w:sz w:val="22"/>
          <w:szCs w:val="22"/>
        </w:rPr>
        <w:t>tržní trend</w:t>
      </w:r>
      <w:r w:rsidR="00304CBE" w:rsidRPr="00E85D49">
        <w:rPr>
          <w:rFonts w:ascii="Arial" w:hAnsi="Arial" w:cs="Arial"/>
          <w:b/>
          <w:sz w:val="22"/>
          <w:szCs w:val="22"/>
        </w:rPr>
        <w:t xml:space="preserve"> </w:t>
      </w:r>
      <w:r w:rsidR="00304CBE">
        <w:rPr>
          <w:rFonts w:ascii="Arial" w:hAnsi="Arial" w:cs="Arial"/>
          <w:b/>
          <w:sz w:val="22"/>
          <w:szCs w:val="22"/>
        </w:rPr>
        <w:t>pokračovat</w:t>
      </w:r>
      <w:r w:rsidR="00304CBE" w:rsidRPr="00E85D49">
        <w:rPr>
          <w:rFonts w:ascii="Arial" w:hAnsi="Arial" w:cs="Arial"/>
          <w:b/>
          <w:sz w:val="22"/>
          <w:szCs w:val="22"/>
        </w:rPr>
        <w:t xml:space="preserve"> </w:t>
      </w:r>
      <w:r w:rsidR="00304CBE">
        <w:rPr>
          <w:rFonts w:ascii="Arial" w:hAnsi="Arial" w:cs="Arial"/>
          <w:b/>
          <w:sz w:val="22"/>
          <w:szCs w:val="22"/>
        </w:rPr>
        <w:t xml:space="preserve">i </w:t>
      </w:r>
      <w:r w:rsidR="00304CBE" w:rsidRPr="00E85D49">
        <w:rPr>
          <w:rFonts w:ascii="Arial" w:hAnsi="Arial" w:cs="Arial"/>
          <w:b/>
          <w:sz w:val="22"/>
          <w:szCs w:val="22"/>
        </w:rPr>
        <w:t>v</w:t>
      </w:r>
      <w:r w:rsidR="00B813D5">
        <w:rPr>
          <w:rFonts w:ascii="Arial" w:hAnsi="Arial" w:cs="Arial"/>
          <w:b/>
          <w:sz w:val="22"/>
          <w:szCs w:val="22"/>
        </w:rPr>
        <w:t> </w:t>
      </w:r>
      <w:r w:rsidR="00304CBE" w:rsidRPr="00E85D49">
        <w:rPr>
          <w:rFonts w:ascii="Arial" w:hAnsi="Arial" w:cs="Arial"/>
          <w:b/>
          <w:sz w:val="22"/>
          <w:szCs w:val="22"/>
        </w:rPr>
        <w:t>maloobchodním sektoru</w:t>
      </w:r>
      <w:r w:rsidR="00E85D49">
        <w:rPr>
          <w:rFonts w:ascii="Arial" w:hAnsi="Arial" w:cs="Arial"/>
          <w:b/>
          <w:sz w:val="22"/>
          <w:szCs w:val="22"/>
        </w:rPr>
        <w:t>.</w:t>
      </w:r>
    </w:p>
    <w:p w14:paraId="1A2F4809" w14:textId="77777777" w:rsidR="00AB7031" w:rsidRPr="002006F6" w:rsidRDefault="00AB7031" w:rsidP="00AB7031">
      <w:pPr>
        <w:spacing w:after="200" w:line="360" w:lineRule="atLeast"/>
        <w:contextualSpacing/>
        <w:rPr>
          <w:rFonts w:ascii="Arial" w:hAnsi="Arial" w:cs="Arial"/>
          <w:b/>
          <w:sz w:val="22"/>
          <w:szCs w:val="22"/>
        </w:rPr>
      </w:pPr>
    </w:p>
    <w:p w14:paraId="34447C88" w14:textId="7F6A8E04" w:rsidR="00E73E02" w:rsidRDefault="00E73E02" w:rsidP="00AB7031">
      <w:pPr>
        <w:spacing w:after="200" w:line="360" w:lineRule="atLeast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Predikce realitního trhu pro rok 2017 v číslech</w:t>
      </w:r>
    </w:p>
    <w:p w14:paraId="37F6AB28" w14:textId="77777777" w:rsidR="00AB7031" w:rsidRPr="002006F6" w:rsidRDefault="00AB7031" w:rsidP="00AB7031">
      <w:pPr>
        <w:spacing w:after="200" w:line="360" w:lineRule="atLeast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3236"/>
        <w:gridCol w:w="1397"/>
        <w:gridCol w:w="1572"/>
        <w:gridCol w:w="1705"/>
        <w:gridCol w:w="2688"/>
      </w:tblGrid>
      <w:tr w:rsidR="0056642A" w:rsidRPr="002006F6" w14:paraId="01AA9C62" w14:textId="77777777" w:rsidTr="00B813D5">
        <w:trPr>
          <w:trHeight w:val="1047"/>
        </w:trPr>
        <w:tc>
          <w:tcPr>
            <w:tcW w:w="3236" w:type="dxa"/>
          </w:tcPr>
          <w:p w14:paraId="0D10FE6B" w14:textId="790A660E" w:rsidR="00AB7031" w:rsidRDefault="00AB7031" w:rsidP="00BE7858">
            <w:pPr>
              <w:spacing w:after="200" w:line="36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006F6">
              <w:rPr>
                <w:rFonts w:ascii="Arial" w:hAnsi="Arial" w:cs="Arial"/>
                <w:b/>
                <w:sz w:val="20"/>
                <w:szCs w:val="20"/>
              </w:rPr>
              <w:t>INVESTMENT</w:t>
            </w:r>
          </w:p>
          <w:p w14:paraId="5FFCFD06" w14:textId="3ECF9118" w:rsidR="00AB7031" w:rsidRPr="002006F6" w:rsidRDefault="00E73E02" w:rsidP="00BE7858">
            <w:pPr>
              <w:spacing w:after="200" w:line="36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Podíl </w:t>
            </w:r>
            <w:r w:rsidR="0056642A">
              <w:rPr>
                <w:rFonts w:ascii="Arial" w:hAnsi="Arial" w:cs="Arial"/>
                <w:b/>
                <w:sz w:val="20"/>
                <w:szCs w:val="20"/>
              </w:rPr>
              <w:t xml:space="preserve">jednotlivých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sektorů na celkovém objemu</w:t>
            </w:r>
            <w:r w:rsidR="00294CFD">
              <w:rPr>
                <w:rFonts w:ascii="Arial" w:hAnsi="Arial" w:cs="Arial"/>
                <w:b/>
                <w:sz w:val="20"/>
                <w:szCs w:val="20"/>
              </w:rPr>
              <w:t xml:space="preserve"> investic</w:t>
            </w:r>
          </w:p>
        </w:tc>
        <w:tc>
          <w:tcPr>
            <w:tcW w:w="1397" w:type="dxa"/>
          </w:tcPr>
          <w:p w14:paraId="0783CB31" w14:textId="77777777" w:rsidR="00AB7031" w:rsidRPr="002006F6" w:rsidRDefault="00AB7031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6F6">
              <w:rPr>
                <w:rFonts w:ascii="Arial" w:hAnsi="Arial" w:cs="Arial"/>
                <w:b/>
                <w:sz w:val="20"/>
                <w:szCs w:val="20"/>
              </w:rPr>
              <w:t>47 %</w:t>
            </w:r>
          </w:p>
          <w:p w14:paraId="6616BB83" w14:textId="60029BD0" w:rsidR="00AB7031" w:rsidRPr="002006F6" w:rsidRDefault="00E73E02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Maloobchod</w:t>
            </w:r>
          </w:p>
        </w:tc>
        <w:tc>
          <w:tcPr>
            <w:tcW w:w="1572" w:type="dxa"/>
          </w:tcPr>
          <w:p w14:paraId="112490F2" w14:textId="77777777" w:rsidR="00AB7031" w:rsidRPr="002006F6" w:rsidRDefault="00AB7031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6F6">
              <w:rPr>
                <w:rFonts w:ascii="Arial" w:hAnsi="Arial" w:cs="Arial"/>
                <w:b/>
                <w:sz w:val="20"/>
                <w:szCs w:val="20"/>
              </w:rPr>
              <w:t>38 %</w:t>
            </w:r>
          </w:p>
          <w:p w14:paraId="42D94D29" w14:textId="48443908" w:rsidR="00AB7031" w:rsidRPr="002006F6" w:rsidRDefault="00E73E02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Kanceláře</w:t>
            </w:r>
          </w:p>
        </w:tc>
        <w:tc>
          <w:tcPr>
            <w:tcW w:w="1705" w:type="dxa"/>
          </w:tcPr>
          <w:p w14:paraId="2571EF0B" w14:textId="77777777" w:rsidR="00AB7031" w:rsidRPr="002006F6" w:rsidRDefault="00AB7031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6F6">
              <w:rPr>
                <w:rFonts w:ascii="Arial" w:hAnsi="Arial" w:cs="Arial"/>
                <w:b/>
                <w:sz w:val="20"/>
                <w:szCs w:val="20"/>
              </w:rPr>
              <w:t>8 %</w:t>
            </w:r>
          </w:p>
          <w:p w14:paraId="1EEC47F9" w14:textId="77777777" w:rsidR="00AB7031" w:rsidRPr="002006F6" w:rsidRDefault="00AB7031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006F6">
              <w:rPr>
                <w:rFonts w:ascii="Arial" w:hAnsi="Arial" w:cs="Arial"/>
                <w:b/>
                <w:sz w:val="20"/>
                <w:szCs w:val="20"/>
              </w:rPr>
              <w:t>Mixed</w:t>
            </w:r>
            <w:proofErr w:type="spellEnd"/>
            <w:r w:rsidRPr="002006F6">
              <w:rPr>
                <w:rFonts w:ascii="Arial" w:hAnsi="Arial" w:cs="Arial"/>
                <w:b/>
                <w:sz w:val="20"/>
                <w:szCs w:val="20"/>
              </w:rPr>
              <w:t xml:space="preserve"> use</w:t>
            </w:r>
          </w:p>
        </w:tc>
        <w:tc>
          <w:tcPr>
            <w:tcW w:w="2688" w:type="dxa"/>
          </w:tcPr>
          <w:p w14:paraId="6991E02A" w14:textId="77777777" w:rsidR="00AB7031" w:rsidRPr="002006F6" w:rsidRDefault="00AB7031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6F6">
              <w:rPr>
                <w:rFonts w:ascii="Arial" w:hAnsi="Arial" w:cs="Arial"/>
                <w:b/>
                <w:sz w:val="20"/>
                <w:szCs w:val="20"/>
              </w:rPr>
              <w:t>6%</w:t>
            </w:r>
          </w:p>
          <w:p w14:paraId="1C519AC1" w14:textId="77777777" w:rsidR="00AB7031" w:rsidRPr="002006F6" w:rsidRDefault="00AB7031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006F6">
              <w:rPr>
                <w:rFonts w:ascii="Arial" w:hAnsi="Arial" w:cs="Arial"/>
                <w:b/>
                <w:sz w:val="20"/>
                <w:szCs w:val="20"/>
              </w:rPr>
              <w:t>Industrial</w:t>
            </w:r>
            <w:proofErr w:type="spellEnd"/>
          </w:p>
        </w:tc>
      </w:tr>
      <w:tr w:rsidR="0056642A" w:rsidRPr="002006F6" w14:paraId="77648093" w14:textId="77777777" w:rsidTr="00B813D5">
        <w:trPr>
          <w:trHeight w:val="1047"/>
        </w:trPr>
        <w:tc>
          <w:tcPr>
            <w:tcW w:w="3236" w:type="dxa"/>
          </w:tcPr>
          <w:p w14:paraId="093E0CE8" w14:textId="2F84AE39" w:rsidR="00AB7031" w:rsidRPr="002006F6" w:rsidRDefault="00E73E02" w:rsidP="00BE7858">
            <w:pPr>
              <w:spacing w:after="200" w:line="36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KANCELÁŘE</w:t>
            </w:r>
          </w:p>
        </w:tc>
        <w:tc>
          <w:tcPr>
            <w:tcW w:w="1397" w:type="dxa"/>
          </w:tcPr>
          <w:p w14:paraId="2C81E7B1" w14:textId="46FF1A7C" w:rsidR="00AB7031" w:rsidRPr="002006F6" w:rsidRDefault="00AB7031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6F6">
              <w:rPr>
                <w:rFonts w:ascii="Arial" w:hAnsi="Arial" w:cs="Arial"/>
                <w:b/>
                <w:sz w:val="20"/>
                <w:szCs w:val="20"/>
              </w:rPr>
              <w:t xml:space="preserve">270 000 </w:t>
            </w:r>
            <w:r w:rsidR="00E73E02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E73E02" w:rsidRPr="00E73E0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0EA23FBF" w14:textId="6DBD53B9" w:rsidR="00AB7031" w:rsidRPr="002006F6" w:rsidRDefault="00294CFD" w:rsidP="00294CFD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Čistá p</w:t>
            </w:r>
            <w:r w:rsidR="00E73E02">
              <w:rPr>
                <w:rFonts w:ascii="Arial" w:hAnsi="Arial" w:cs="Arial"/>
                <w:b/>
                <w:sz w:val="20"/>
                <w:szCs w:val="20"/>
              </w:rPr>
              <w:t>optávka</w:t>
            </w:r>
          </w:p>
        </w:tc>
        <w:tc>
          <w:tcPr>
            <w:tcW w:w="1572" w:type="dxa"/>
          </w:tcPr>
          <w:p w14:paraId="01742D70" w14:textId="1341D65F" w:rsidR="00AB7031" w:rsidRPr="002006F6" w:rsidRDefault="00AB7031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6F6">
              <w:rPr>
                <w:rFonts w:ascii="Arial" w:hAnsi="Arial" w:cs="Arial"/>
                <w:b/>
                <w:sz w:val="20"/>
                <w:szCs w:val="20"/>
              </w:rPr>
              <w:t>11,</w:t>
            </w:r>
            <w:r w:rsidR="00294CF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73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006F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  <w:p w14:paraId="60FFCF81" w14:textId="586C856C" w:rsidR="00AB7031" w:rsidRPr="002006F6" w:rsidRDefault="00E73E02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Neobsazenost</w:t>
            </w:r>
          </w:p>
        </w:tc>
        <w:tc>
          <w:tcPr>
            <w:tcW w:w="1705" w:type="dxa"/>
          </w:tcPr>
          <w:p w14:paraId="50C877B2" w14:textId="59B9B6D6" w:rsidR="00AB7031" w:rsidRPr="002006F6" w:rsidRDefault="00AB7031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6F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94CFD">
              <w:rPr>
                <w:rFonts w:ascii="Arial" w:hAnsi="Arial" w:cs="Arial"/>
                <w:b/>
                <w:sz w:val="20"/>
                <w:szCs w:val="20"/>
              </w:rPr>
              <w:t xml:space="preserve">78 800 </w:t>
            </w:r>
            <w:r w:rsidR="00E73E02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E73E02" w:rsidRPr="00E73E0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35A4BD9C" w14:textId="71EFD78F" w:rsidR="00AB7031" w:rsidRPr="002006F6" w:rsidRDefault="00E73E02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Nová výstavba</w:t>
            </w:r>
          </w:p>
        </w:tc>
        <w:tc>
          <w:tcPr>
            <w:tcW w:w="2688" w:type="dxa"/>
          </w:tcPr>
          <w:p w14:paraId="0C0ACA43" w14:textId="621A87BD" w:rsidR="00AB7031" w:rsidRPr="002006F6" w:rsidRDefault="00AB7031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6F6">
              <w:rPr>
                <w:rFonts w:ascii="Arial" w:hAnsi="Arial" w:cs="Arial"/>
                <w:b/>
                <w:sz w:val="20"/>
                <w:szCs w:val="20"/>
              </w:rPr>
              <w:t>20,50 EUR/</w:t>
            </w:r>
            <w:r w:rsidR="00E73E02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E73E02" w:rsidRPr="00E73E0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2006F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73E02">
              <w:rPr>
                <w:rFonts w:ascii="Arial" w:hAnsi="Arial" w:cs="Arial"/>
                <w:b/>
                <w:sz w:val="20"/>
                <w:szCs w:val="20"/>
              </w:rPr>
              <w:t>měsíc</w:t>
            </w:r>
          </w:p>
          <w:p w14:paraId="14FE35D9" w14:textId="6D716C55" w:rsidR="00AB7031" w:rsidRPr="002006F6" w:rsidRDefault="00EE40C7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Prime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rents</w:t>
            </w:r>
            <w:proofErr w:type="spellEnd"/>
          </w:p>
        </w:tc>
      </w:tr>
      <w:tr w:rsidR="0056642A" w:rsidRPr="002006F6" w14:paraId="26B8A8A2" w14:textId="77777777" w:rsidTr="00B813D5">
        <w:trPr>
          <w:trHeight w:val="1047"/>
        </w:trPr>
        <w:tc>
          <w:tcPr>
            <w:tcW w:w="3236" w:type="dxa"/>
          </w:tcPr>
          <w:p w14:paraId="65A570D3" w14:textId="6D0C9786" w:rsidR="00AB7031" w:rsidRPr="002006F6" w:rsidRDefault="00AB7031" w:rsidP="00BE7858">
            <w:pPr>
              <w:spacing w:after="200" w:line="36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006F6">
              <w:rPr>
                <w:rFonts w:ascii="Arial" w:hAnsi="Arial" w:cs="Arial"/>
                <w:b/>
                <w:sz w:val="20"/>
                <w:szCs w:val="20"/>
              </w:rPr>
              <w:t>INDUSTRIAL</w:t>
            </w:r>
            <w:r w:rsidR="00E73E02">
              <w:rPr>
                <w:rFonts w:ascii="Arial" w:hAnsi="Arial" w:cs="Arial"/>
                <w:b/>
                <w:sz w:val="20"/>
                <w:szCs w:val="20"/>
              </w:rPr>
              <w:t xml:space="preserve"> &amp; LOGISTIKA</w:t>
            </w:r>
          </w:p>
        </w:tc>
        <w:tc>
          <w:tcPr>
            <w:tcW w:w="1397" w:type="dxa"/>
          </w:tcPr>
          <w:p w14:paraId="16E63E60" w14:textId="6D63FD33" w:rsidR="00AB7031" w:rsidRPr="002006F6" w:rsidRDefault="00AB7031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6F6">
              <w:rPr>
                <w:rFonts w:ascii="Arial" w:hAnsi="Arial" w:cs="Arial"/>
                <w:b/>
                <w:sz w:val="20"/>
                <w:szCs w:val="20"/>
              </w:rPr>
              <w:t xml:space="preserve">950 000 </w:t>
            </w:r>
            <w:r w:rsidR="00E73E02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E73E02" w:rsidRPr="00E73E0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19F395AF" w14:textId="52B981F4" w:rsidR="00AB7031" w:rsidRPr="002006F6" w:rsidRDefault="00E73E02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Poptávka</w:t>
            </w:r>
          </w:p>
        </w:tc>
        <w:tc>
          <w:tcPr>
            <w:tcW w:w="1572" w:type="dxa"/>
          </w:tcPr>
          <w:p w14:paraId="30C225E1" w14:textId="31BB4263" w:rsidR="00AB7031" w:rsidRPr="002006F6" w:rsidRDefault="00AB7031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6F6">
              <w:rPr>
                <w:rFonts w:ascii="Arial" w:hAnsi="Arial" w:cs="Arial"/>
                <w:b/>
                <w:sz w:val="20"/>
                <w:szCs w:val="20"/>
              </w:rPr>
              <w:t>4,3</w:t>
            </w:r>
            <w:r w:rsidR="00E73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006F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  <w:p w14:paraId="2333F145" w14:textId="0625D1E6" w:rsidR="00AB7031" w:rsidRPr="002006F6" w:rsidRDefault="00E73E02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Neobsazenost</w:t>
            </w:r>
          </w:p>
        </w:tc>
        <w:tc>
          <w:tcPr>
            <w:tcW w:w="1705" w:type="dxa"/>
          </w:tcPr>
          <w:p w14:paraId="1ABBB750" w14:textId="47A4792D" w:rsidR="00AB7031" w:rsidRPr="002006F6" w:rsidRDefault="00AB7031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6F6">
              <w:rPr>
                <w:rFonts w:ascii="Arial" w:hAnsi="Arial" w:cs="Arial"/>
                <w:b/>
                <w:sz w:val="20"/>
                <w:szCs w:val="20"/>
              </w:rPr>
              <w:t xml:space="preserve">660 000 </w:t>
            </w:r>
            <w:r w:rsidR="00E73E02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E73E02" w:rsidRPr="00E73E0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2E744A56" w14:textId="24BA0DB9" w:rsidR="00AB7031" w:rsidRPr="002006F6" w:rsidRDefault="00E73E02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Nová výstavba</w:t>
            </w:r>
          </w:p>
        </w:tc>
        <w:tc>
          <w:tcPr>
            <w:tcW w:w="2688" w:type="dxa"/>
          </w:tcPr>
          <w:p w14:paraId="3E5489A7" w14:textId="5374781B" w:rsidR="00AB7031" w:rsidRPr="002006F6" w:rsidRDefault="00AB7031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6F6">
              <w:rPr>
                <w:rFonts w:ascii="Arial" w:hAnsi="Arial" w:cs="Arial"/>
                <w:b/>
                <w:sz w:val="20"/>
                <w:szCs w:val="20"/>
              </w:rPr>
              <w:t xml:space="preserve">4,30 </w:t>
            </w:r>
            <w:r w:rsidR="00E73E02" w:rsidRPr="002006F6">
              <w:rPr>
                <w:rFonts w:ascii="Arial" w:hAnsi="Arial" w:cs="Arial"/>
                <w:b/>
                <w:sz w:val="20"/>
                <w:szCs w:val="20"/>
              </w:rPr>
              <w:t>EUR/</w:t>
            </w:r>
            <w:r w:rsidR="00E73E02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E73E02" w:rsidRPr="00E73E0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E73E02" w:rsidRPr="002006F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73E02">
              <w:rPr>
                <w:rFonts w:ascii="Arial" w:hAnsi="Arial" w:cs="Arial"/>
                <w:b/>
                <w:sz w:val="20"/>
                <w:szCs w:val="20"/>
              </w:rPr>
              <w:t>měsíc</w:t>
            </w:r>
          </w:p>
          <w:p w14:paraId="4C319F4A" w14:textId="611BA842" w:rsidR="00AB7031" w:rsidRPr="002006F6" w:rsidRDefault="00EE40C7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Prime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rents</w:t>
            </w:r>
            <w:proofErr w:type="spellEnd"/>
          </w:p>
        </w:tc>
      </w:tr>
      <w:tr w:rsidR="0056642A" w:rsidRPr="002006F6" w14:paraId="5C2627F4" w14:textId="77777777" w:rsidTr="00B813D5">
        <w:trPr>
          <w:trHeight w:val="1047"/>
        </w:trPr>
        <w:tc>
          <w:tcPr>
            <w:tcW w:w="3236" w:type="dxa"/>
          </w:tcPr>
          <w:p w14:paraId="152A2506" w14:textId="77777777" w:rsidR="00AB7031" w:rsidRPr="002006F6" w:rsidRDefault="00AB7031" w:rsidP="00BE7858">
            <w:pPr>
              <w:spacing w:after="200" w:line="36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006F6">
              <w:rPr>
                <w:rFonts w:ascii="Arial" w:hAnsi="Arial" w:cs="Arial"/>
                <w:b/>
                <w:sz w:val="20"/>
                <w:szCs w:val="20"/>
              </w:rPr>
              <w:t>RETAIL</w:t>
            </w:r>
          </w:p>
        </w:tc>
        <w:tc>
          <w:tcPr>
            <w:tcW w:w="1397" w:type="dxa"/>
          </w:tcPr>
          <w:p w14:paraId="0CDB0650" w14:textId="158C3F90" w:rsidR="00AB7031" w:rsidRPr="002006F6" w:rsidRDefault="00AB7031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6F6">
              <w:rPr>
                <w:rFonts w:ascii="Arial" w:hAnsi="Arial" w:cs="Arial"/>
                <w:b/>
                <w:sz w:val="20"/>
                <w:szCs w:val="20"/>
              </w:rPr>
              <w:t xml:space="preserve">36 200 </w:t>
            </w:r>
            <w:r w:rsidR="00E73E02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E73E02" w:rsidRPr="00E73E0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498DE834" w14:textId="3F564EF1" w:rsidR="00AB7031" w:rsidRPr="002006F6" w:rsidRDefault="00E73E02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 výstavbě</w:t>
            </w:r>
          </w:p>
        </w:tc>
        <w:tc>
          <w:tcPr>
            <w:tcW w:w="1572" w:type="dxa"/>
          </w:tcPr>
          <w:p w14:paraId="6411F51F" w14:textId="77777777" w:rsidR="00AB7031" w:rsidRPr="002006F6" w:rsidRDefault="00AB7031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F58520" w14:textId="77777777" w:rsidR="00AB7031" w:rsidRPr="002006F6" w:rsidRDefault="00AB7031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6F6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705" w:type="dxa"/>
          </w:tcPr>
          <w:p w14:paraId="2900CE74" w14:textId="6541E2FD" w:rsidR="00AB7031" w:rsidRPr="002006F6" w:rsidRDefault="00AB7031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6F6">
              <w:rPr>
                <w:rFonts w:ascii="Arial" w:hAnsi="Arial" w:cs="Arial"/>
                <w:b/>
                <w:sz w:val="20"/>
                <w:szCs w:val="20"/>
              </w:rPr>
              <w:t xml:space="preserve">61 000 </w:t>
            </w:r>
            <w:r w:rsidR="00E73E02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E73E02" w:rsidRPr="00E73E0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1EFD09F7" w14:textId="49DD2C78" w:rsidR="00AB7031" w:rsidRPr="002006F6" w:rsidRDefault="00E73E02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Nová výstavba</w:t>
            </w:r>
          </w:p>
        </w:tc>
        <w:tc>
          <w:tcPr>
            <w:tcW w:w="2688" w:type="dxa"/>
          </w:tcPr>
          <w:p w14:paraId="6C7409B1" w14:textId="4952F0E3" w:rsidR="00AB7031" w:rsidRPr="002006F6" w:rsidRDefault="00AB7031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6F6">
              <w:rPr>
                <w:rFonts w:ascii="Arial" w:hAnsi="Arial" w:cs="Arial"/>
                <w:b/>
                <w:sz w:val="20"/>
                <w:szCs w:val="20"/>
              </w:rPr>
              <w:t xml:space="preserve">135 </w:t>
            </w:r>
            <w:r w:rsidR="00E73E02" w:rsidRPr="002006F6">
              <w:rPr>
                <w:rFonts w:ascii="Arial" w:hAnsi="Arial" w:cs="Arial"/>
                <w:b/>
                <w:sz w:val="20"/>
                <w:szCs w:val="20"/>
              </w:rPr>
              <w:t>EUR/</w:t>
            </w:r>
            <w:r w:rsidR="00E73E02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E73E02" w:rsidRPr="00E73E0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E73E02" w:rsidRPr="002006F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73E02">
              <w:rPr>
                <w:rFonts w:ascii="Arial" w:hAnsi="Arial" w:cs="Arial"/>
                <w:b/>
                <w:sz w:val="20"/>
                <w:szCs w:val="20"/>
              </w:rPr>
              <w:t>měsíc</w:t>
            </w:r>
          </w:p>
          <w:p w14:paraId="3AA4B7A6" w14:textId="770C87C0" w:rsidR="00AB7031" w:rsidRPr="002006F6" w:rsidRDefault="00EE40C7" w:rsidP="00BE7858">
            <w:pPr>
              <w:spacing w:after="200" w:line="36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Prime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rents</w:t>
            </w:r>
            <w:proofErr w:type="spellEnd"/>
            <w:r w:rsidR="00E73E02">
              <w:rPr>
                <w:rFonts w:ascii="Arial" w:hAnsi="Arial" w:cs="Arial"/>
                <w:b/>
                <w:sz w:val="20"/>
                <w:szCs w:val="20"/>
              </w:rPr>
              <w:t xml:space="preserve"> v obchodních centrech</w:t>
            </w:r>
          </w:p>
        </w:tc>
      </w:tr>
    </w:tbl>
    <w:p w14:paraId="3ED7B4E0" w14:textId="77777777" w:rsidR="00AB7031" w:rsidRPr="002006F6" w:rsidRDefault="00AB7031" w:rsidP="00AB7031">
      <w:pPr>
        <w:spacing w:after="200" w:line="360" w:lineRule="atLeast"/>
        <w:contextualSpacing/>
        <w:rPr>
          <w:rFonts w:ascii="Arial" w:hAnsi="Arial" w:cs="Arial"/>
          <w:b/>
          <w:sz w:val="22"/>
          <w:szCs w:val="22"/>
        </w:rPr>
      </w:pPr>
    </w:p>
    <w:p w14:paraId="7442CB2A" w14:textId="77777777" w:rsidR="00AB7031" w:rsidRPr="002006F6" w:rsidRDefault="00AB7031" w:rsidP="00AB7031">
      <w:pPr>
        <w:spacing w:after="200" w:line="360" w:lineRule="atLeast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17909A3" w14:textId="77777777" w:rsidR="00AB7031" w:rsidRPr="002006F6" w:rsidRDefault="00AB7031" w:rsidP="00AB7031">
      <w:pPr>
        <w:spacing w:after="200" w:line="360" w:lineRule="atLeast"/>
        <w:ind w:left="720"/>
        <w:contextualSpacing/>
        <w:rPr>
          <w:rFonts w:ascii="Arial" w:hAnsi="Arial" w:cs="Arial"/>
          <w:b/>
        </w:rPr>
      </w:pPr>
    </w:p>
    <w:p w14:paraId="799A54B9" w14:textId="4DD079CF" w:rsidR="00AB7031" w:rsidRDefault="002A6147" w:rsidP="00AB70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42A">
        <w:rPr>
          <w:rFonts w:ascii="Arial" w:hAnsi="Arial" w:cs="Arial"/>
          <w:b/>
          <w:sz w:val="22"/>
          <w:szCs w:val="22"/>
        </w:rPr>
        <w:lastRenderedPageBreak/>
        <w:t>Praha</w:t>
      </w:r>
      <w:r w:rsidR="007609EB">
        <w:rPr>
          <w:rFonts w:ascii="Arial" w:hAnsi="Arial" w:cs="Arial"/>
          <w:b/>
          <w:sz w:val="22"/>
          <w:szCs w:val="22"/>
        </w:rPr>
        <w:t xml:space="preserve"> 19</w:t>
      </w:r>
      <w:r w:rsidRPr="0056642A">
        <w:rPr>
          <w:rFonts w:ascii="Arial" w:hAnsi="Arial" w:cs="Arial"/>
          <w:b/>
          <w:sz w:val="22"/>
          <w:szCs w:val="22"/>
        </w:rPr>
        <w:t>.</w:t>
      </w:r>
      <w:r w:rsidR="00AB7031" w:rsidRPr="0056642A">
        <w:rPr>
          <w:rFonts w:ascii="Arial" w:hAnsi="Arial" w:cs="Arial"/>
          <w:b/>
          <w:sz w:val="22"/>
          <w:szCs w:val="22"/>
        </w:rPr>
        <w:t xml:space="preserve"> </w:t>
      </w:r>
      <w:r w:rsidRPr="0056642A">
        <w:rPr>
          <w:rFonts w:ascii="Arial" w:hAnsi="Arial" w:cs="Arial"/>
          <w:b/>
          <w:sz w:val="22"/>
          <w:szCs w:val="22"/>
        </w:rPr>
        <w:t>prosince</w:t>
      </w:r>
      <w:r w:rsidR="00AB7031" w:rsidRPr="0056642A">
        <w:rPr>
          <w:rFonts w:ascii="Arial" w:hAnsi="Arial" w:cs="Arial"/>
          <w:b/>
          <w:sz w:val="22"/>
          <w:szCs w:val="22"/>
        </w:rPr>
        <w:t xml:space="preserve"> 2016 </w:t>
      </w:r>
      <w:r w:rsidR="00AB7031" w:rsidRPr="0056642A">
        <w:rPr>
          <w:rFonts w:ascii="Arial" w:hAnsi="Arial" w:cs="Arial"/>
          <w:sz w:val="22"/>
          <w:szCs w:val="22"/>
        </w:rPr>
        <w:t xml:space="preserve">– </w:t>
      </w:r>
      <w:r w:rsidR="0056642A" w:rsidRPr="0056642A">
        <w:rPr>
          <w:rFonts w:ascii="Arial" w:hAnsi="Arial" w:cs="Arial"/>
          <w:sz w:val="22"/>
          <w:szCs w:val="22"/>
        </w:rPr>
        <w:t xml:space="preserve">Společnost </w:t>
      </w:r>
      <w:r w:rsidR="00AB7031" w:rsidRPr="0056642A">
        <w:rPr>
          <w:rFonts w:ascii="Arial" w:hAnsi="Arial" w:cs="Arial"/>
          <w:sz w:val="22"/>
          <w:szCs w:val="22"/>
        </w:rPr>
        <w:t xml:space="preserve">CBRE, </w:t>
      </w:r>
      <w:r w:rsidR="000B48B8" w:rsidRPr="0056642A">
        <w:rPr>
          <w:rFonts w:ascii="Arial" w:hAnsi="Arial" w:cs="Arial"/>
          <w:sz w:val="22"/>
          <w:szCs w:val="22"/>
        </w:rPr>
        <w:t xml:space="preserve">světový lídr komerčních realitních služeb, vydala </w:t>
      </w:r>
      <w:r w:rsidR="00BF26A1" w:rsidRPr="0056642A">
        <w:rPr>
          <w:rFonts w:ascii="Arial" w:hAnsi="Arial" w:cs="Arial"/>
          <w:sz w:val="22"/>
          <w:szCs w:val="22"/>
        </w:rPr>
        <w:t xml:space="preserve">studii </w:t>
      </w:r>
      <w:r w:rsidR="00AB7031" w:rsidRPr="0056642A">
        <w:rPr>
          <w:rFonts w:ascii="Arial" w:hAnsi="Arial" w:cs="Arial"/>
          <w:sz w:val="22"/>
          <w:szCs w:val="22"/>
        </w:rPr>
        <w:t xml:space="preserve">Real </w:t>
      </w:r>
      <w:proofErr w:type="spellStart"/>
      <w:r w:rsidR="00AB7031" w:rsidRPr="0056642A">
        <w:rPr>
          <w:rFonts w:ascii="Arial" w:hAnsi="Arial" w:cs="Arial"/>
          <w:sz w:val="22"/>
          <w:szCs w:val="22"/>
        </w:rPr>
        <w:t>Estate</w:t>
      </w:r>
      <w:proofErr w:type="spellEnd"/>
      <w:r w:rsidR="00AB7031" w:rsidRPr="0056642A">
        <w:rPr>
          <w:rFonts w:ascii="Arial" w:hAnsi="Arial" w:cs="Arial"/>
          <w:sz w:val="22"/>
          <w:szCs w:val="22"/>
        </w:rPr>
        <w:t xml:space="preserve"> Market Outlook 2017</w:t>
      </w:r>
      <w:r w:rsidR="00BF26A1" w:rsidRPr="0056642A">
        <w:rPr>
          <w:rFonts w:ascii="Arial" w:hAnsi="Arial" w:cs="Arial"/>
          <w:sz w:val="22"/>
          <w:szCs w:val="22"/>
        </w:rPr>
        <w:t>, která predikuje situaci</w:t>
      </w:r>
      <w:r w:rsidR="00AB7031" w:rsidRPr="0056642A">
        <w:rPr>
          <w:rFonts w:ascii="Arial" w:hAnsi="Arial" w:cs="Arial"/>
          <w:sz w:val="22"/>
          <w:szCs w:val="22"/>
        </w:rPr>
        <w:t xml:space="preserve"> </w:t>
      </w:r>
      <w:r w:rsidR="00BF26A1" w:rsidRPr="0056642A">
        <w:rPr>
          <w:rFonts w:ascii="Arial" w:hAnsi="Arial" w:cs="Arial"/>
          <w:sz w:val="22"/>
          <w:szCs w:val="22"/>
        </w:rPr>
        <w:t>na realitním trhu pro investiční, kancelářský, industriální a maloobchodní sektor v České republice</w:t>
      </w:r>
      <w:r w:rsidR="0056642A" w:rsidRPr="0056642A">
        <w:rPr>
          <w:rFonts w:ascii="Arial" w:hAnsi="Arial" w:cs="Arial"/>
          <w:sz w:val="22"/>
          <w:szCs w:val="22"/>
        </w:rPr>
        <w:t>.</w:t>
      </w:r>
    </w:p>
    <w:p w14:paraId="2537278A" w14:textId="77777777" w:rsidR="004D6949" w:rsidRDefault="004D6949" w:rsidP="00AB7031">
      <w:pPr>
        <w:spacing w:line="360" w:lineRule="auto"/>
        <w:jc w:val="both"/>
        <w:rPr>
          <w:rFonts w:ascii="Arial" w:hAnsi="Arial" w:cs="Arial"/>
        </w:rPr>
      </w:pPr>
    </w:p>
    <w:p w14:paraId="30B12DAD" w14:textId="7C933FFC" w:rsidR="00AB7031" w:rsidRPr="002006F6" w:rsidRDefault="00AB7031" w:rsidP="00AB70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06F6">
        <w:rPr>
          <w:rFonts w:ascii="Arial" w:hAnsi="Arial" w:cs="Arial"/>
          <w:b/>
          <w:sz w:val="22"/>
          <w:szCs w:val="22"/>
        </w:rPr>
        <w:t xml:space="preserve">Richard </w:t>
      </w:r>
      <w:proofErr w:type="spellStart"/>
      <w:r w:rsidRPr="002006F6">
        <w:rPr>
          <w:rFonts w:ascii="Arial" w:hAnsi="Arial" w:cs="Arial"/>
          <w:b/>
          <w:sz w:val="22"/>
          <w:szCs w:val="22"/>
        </w:rPr>
        <w:t>Curran</w:t>
      </w:r>
      <w:proofErr w:type="spellEnd"/>
      <w:r w:rsidRPr="002006F6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2006F6">
        <w:rPr>
          <w:rFonts w:ascii="Arial" w:hAnsi="Arial" w:cs="Arial"/>
          <w:b/>
          <w:sz w:val="22"/>
          <w:szCs w:val="22"/>
        </w:rPr>
        <w:t>Managing</w:t>
      </w:r>
      <w:proofErr w:type="spellEnd"/>
      <w:r w:rsidRPr="002006F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006F6">
        <w:rPr>
          <w:rFonts w:ascii="Arial" w:hAnsi="Arial" w:cs="Arial"/>
          <w:b/>
          <w:sz w:val="22"/>
          <w:szCs w:val="22"/>
        </w:rPr>
        <w:t>Director</w:t>
      </w:r>
      <w:proofErr w:type="spellEnd"/>
      <w:r w:rsidRPr="002006F6">
        <w:rPr>
          <w:rFonts w:ascii="Arial" w:hAnsi="Arial" w:cs="Arial"/>
          <w:b/>
          <w:sz w:val="22"/>
          <w:szCs w:val="22"/>
        </w:rPr>
        <w:t xml:space="preserve"> </w:t>
      </w:r>
      <w:r w:rsidR="00BF26A1">
        <w:rPr>
          <w:rFonts w:ascii="Arial" w:hAnsi="Arial" w:cs="Arial"/>
          <w:b/>
          <w:sz w:val="22"/>
          <w:szCs w:val="22"/>
        </w:rPr>
        <w:t>ve společnosti</w:t>
      </w:r>
      <w:r w:rsidRPr="002006F6">
        <w:rPr>
          <w:rFonts w:ascii="Arial" w:hAnsi="Arial" w:cs="Arial"/>
          <w:b/>
          <w:sz w:val="22"/>
          <w:szCs w:val="22"/>
        </w:rPr>
        <w:t xml:space="preserve"> CBRE</w:t>
      </w:r>
      <w:r w:rsidR="00BF26A1">
        <w:rPr>
          <w:rFonts w:ascii="Arial" w:hAnsi="Arial" w:cs="Arial"/>
          <w:b/>
          <w:sz w:val="22"/>
          <w:szCs w:val="22"/>
        </w:rPr>
        <w:t>, říká</w:t>
      </w:r>
      <w:r w:rsidRPr="002006F6">
        <w:rPr>
          <w:rFonts w:ascii="Arial" w:hAnsi="Arial" w:cs="Arial"/>
          <w:sz w:val="22"/>
          <w:szCs w:val="22"/>
        </w:rPr>
        <w:t>:</w:t>
      </w:r>
    </w:p>
    <w:p w14:paraId="18313905" w14:textId="77777777" w:rsidR="00EB5104" w:rsidRDefault="00EB5104" w:rsidP="00AB703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432AA294" w14:textId="050B0C2D" w:rsidR="00BF26A1" w:rsidRPr="002006F6" w:rsidRDefault="00BF26A1" w:rsidP="00AB703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„Aktivita</w:t>
      </w:r>
      <w:r w:rsidRPr="00BF26A1">
        <w:rPr>
          <w:rFonts w:ascii="Arial" w:hAnsi="Arial" w:cs="Arial"/>
          <w:i/>
          <w:sz w:val="22"/>
          <w:szCs w:val="22"/>
        </w:rPr>
        <w:t xml:space="preserve"> českého realitního trhu nevykazuje žádné známky zpomalení </w:t>
      </w:r>
      <w:r>
        <w:rPr>
          <w:rFonts w:ascii="Arial" w:hAnsi="Arial" w:cs="Arial"/>
          <w:i/>
          <w:sz w:val="22"/>
          <w:szCs w:val="22"/>
        </w:rPr>
        <w:t xml:space="preserve">ani </w:t>
      </w:r>
      <w:r w:rsidRPr="00BF26A1">
        <w:rPr>
          <w:rFonts w:ascii="Arial" w:hAnsi="Arial" w:cs="Arial"/>
          <w:i/>
          <w:sz w:val="22"/>
          <w:szCs w:val="22"/>
        </w:rPr>
        <w:t xml:space="preserve">v roce 2017. Jsme přesvědčeni, </w:t>
      </w:r>
      <w:r w:rsidR="00142108">
        <w:rPr>
          <w:rFonts w:ascii="Arial" w:hAnsi="Arial" w:cs="Arial"/>
          <w:i/>
          <w:sz w:val="22"/>
          <w:szCs w:val="22"/>
        </w:rPr>
        <w:t xml:space="preserve">že pronájmy a investiční objem nadále porostou </w:t>
      </w:r>
      <w:r w:rsidRPr="00BF26A1">
        <w:rPr>
          <w:rFonts w:ascii="Arial" w:hAnsi="Arial" w:cs="Arial"/>
          <w:i/>
          <w:sz w:val="22"/>
          <w:szCs w:val="22"/>
        </w:rPr>
        <w:t xml:space="preserve">v souladu </w:t>
      </w:r>
      <w:r w:rsidR="00142108">
        <w:rPr>
          <w:rFonts w:ascii="Arial" w:hAnsi="Arial" w:cs="Arial"/>
          <w:i/>
          <w:sz w:val="22"/>
          <w:szCs w:val="22"/>
        </w:rPr>
        <w:t>se silnou makroekonomickou situací České republiky</w:t>
      </w:r>
      <w:r w:rsidR="0056642A">
        <w:rPr>
          <w:rFonts w:ascii="Arial" w:hAnsi="Arial" w:cs="Arial"/>
          <w:i/>
          <w:sz w:val="22"/>
          <w:szCs w:val="22"/>
        </w:rPr>
        <w:t>,</w:t>
      </w:r>
      <w:r w:rsidR="00142108">
        <w:rPr>
          <w:rFonts w:ascii="Arial" w:hAnsi="Arial" w:cs="Arial"/>
          <w:i/>
          <w:sz w:val="22"/>
          <w:szCs w:val="22"/>
        </w:rPr>
        <w:t xml:space="preserve"> a </w:t>
      </w:r>
      <w:r w:rsidR="0056642A">
        <w:rPr>
          <w:rFonts w:ascii="Arial" w:hAnsi="Arial" w:cs="Arial"/>
          <w:i/>
          <w:sz w:val="22"/>
          <w:szCs w:val="22"/>
        </w:rPr>
        <w:t xml:space="preserve">proto by </w:t>
      </w:r>
      <w:r w:rsidR="0067615A">
        <w:rPr>
          <w:rFonts w:ascii="Arial" w:hAnsi="Arial" w:cs="Arial"/>
          <w:i/>
          <w:sz w:val="22"/>
          <w:szCs w:val="22"/>
        </w:rPr>
        <w:t xml:space="preserve">nikdo </w:t>
      </w:r>
      <w:r w:rsidR="00142108">
        <w:rPr>
          <w:rFonts w:ascii="Arial" w:hAnsi="Arial" w:cs="Arial"/>
          <w:i/>
          <w:sz w:val="22"/>
          <w:szCs w:val="22"/>
        </w:rPr>
        <w:t xml:space="preserve">na trhu v roce 2017 </w:t>
      </w:r>
      <w:r w:rsidR="0067615A">
        <w:rPr>
          <w:rFonts w:ascii="Arial" w:hAnsi="Arial" w:cs="Arial"/>
          <w:i/>
          <w:sz w:val="22"/>
          <w:szCs w:val="22"/>
        </w:rPr>
        <w:t xml:space="preserve">neměl </w:t>
      </w:r>
      <w:r w:rsidR="00142108">
        <w:rPr>
          <w:rFonts w:ascii="Arial" w:hAnsi="Arial" w:cs="Arial"/>
          <w:i/>
          <w:sz w:val="22"/>
          <w:szCs w:val="22"/>
        </w:rPr>
        <w:t>chybět.</w:t>
      </w:r>
      <w:r w:rsidRPr="00BF26A1">
        <w:rPr>
          <w:rFonts w:ascii="Arial" w:hAnsi="Arial" w:cs="Arial"/>
          <w:i/>
          <w:sz w:val="22"/>
          <w:szCs w:val="22"/>
        </w:rPr>
        <w:t>"</w:t>
      </w:r>
    </w:p>
    <w:p w14:paraId="53EB4C25" w14:textId="77777777" w:rsidR="00AB7031" w:rsidRPr="002006F6" w:rsidRDefault="00AB7031" w:rsidP="00AB703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3270FA48" w14:textId="6F1F3DF2" w:rsidR="00E807F0" w:rsidRPr="0056642A" w:rsidRDefault="00E807F0" w:rsidP="00AB703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6642A">
        <w:rPr>
          <w:rFonts w:ascii="Arial" w:hAnsi="Arial" w:cs="Arial"/>
          <w:bCs/>
          <w:sz w:val="22"/>
          <w:szCs w:val="22"/>
        </w:rPr>
        <w:t xml:space="preserve">CBRE nadále předpovídá </w:t>
      </w:r>
      <w:r w:rsidR="00294CFD">
        <w:rPr>
          <w:rFonts w:ascii="Arial" w:hAnsi="Arial" w:cs="Arial"/>
          <w:bCs/>
          <w:sz w:val="22"/>
          <w:szCs w:val="22"/>
        </w:rPr>
        <w:t>tlak na</w:t>
      </w:r>
      <w:r w:rsidR="00B44BDB" w:rsidRPr="0056642A">
        <w:rPr>
          <w:rFonts w:ascii="Arial" w:hAnsi="Arial" w:cs="Arial"/>
          <w:bCs/>
          <w:sz w:val="22"/>
          <w:szCs w:val="22"/>
        </w:rPr>
        <w:t xml:space="preserve"> pokles prime </w:t>
      </w:r>
      <w:proofErr w:type="spellStart"/>
      <w:r w:rsidR="00B44BDB" w:rsidRPr="0056642A">
        <w:rPr>
          <w:rFonts w:ascii="Arial" w:hAnsi="Arial" w:cs="Arial"/>
          <w:bCs/>
          <w:sz w:val="22"/>
          <w:szCs w:val="22"/>
        </w:rPr>
        <w:t>yields</w:t>
      </w:r>
      <w:proofErr w:type="spellEnd"/>
      <w:r w:rsidR="00B44BDB" w:rsidRPr="0056642A">
        <w:rPr>
          <w:rFonts w:ascii="Arial" w:hAnsi="Arial" w:cs="Arial"/>
          <w:bCs/>
          <w:sz w:val="22"/>
          <w:szCs w:val="22"/>
        </w:rPr>
        <w:t xml:space="preserve"> v investičním sektoru, </w:t>
      </w:r>
      <w:r w:rsidR="00294CFD">
        <w:rPr>
          <w:rFonts w:ascii="Arial" w:hAnsi="Arial" w:cs="Arial"/>
          <w:bCs/>
          <w:sz w:val="22"/>
          <w:szCs w:val="22"/>
        </w:rPr>
        <w:t xml:space="preserve">tento pokles </w:t>
      </w:r>
      <w:r w:rsidR="00B44BDB" w:rsidRPr="0056642A">
        <w:rPr>
          <w:rFonts w:ascii="Arial" w:hAnsi="Arial" w:cs="Arial"/>
          <w:bCs/>
          <w:sz w:val="22"/>
          <w:szCs w:val="22"/>
        </w:rPr>
        <w:t xml:space="preserve">však bude oproti minulým letům pomalejší. </w:t>
      </w:r>
      <w:r w:rsidRPr="0056642A">
        <w:rPr>
          <w:rFonts w:ascii="Arial" w:hAnsi="Arial" w:cs="Arial"/>
          <w:bCs/>
          <w:sz w:val="22"/>
          <w:szCs w:val="22"/>
        </w:rPr>
        <w:t xml:space="preserve">V současné době </w:t>
      </w:r>
      <w:r w:rsidR="00B44BDB" w:rsidRPr="0056642A">
        <w:rPr>
          <w:rFonts w:ascii="Arial" w:hAnsi="Arial" w:cs="Arial"/>
          <w:bCs/>
          <w:sz w:val="22"/>
          <w:szCs w:val="22"/>
        </w:rPr>
        <w:t>monitorujeme na trhu</w:t>
      </w:r>
      <w:r w:rsidRPr="0056642A">
        <w:rPr>
          <w:rFonts w:ascii="Arial" w:hAnsi="Arial" w:cs="Arial"/>
          <w:bCs/>
          <w:sz w:val="22"/>
          <w:szCs w:val="22"/>
        </w:rPr>
        <w:t xml:space="preserve"> více než 50 probíhajících transakcí o celkovém </w:t>
      </w:r>
      <w:r w:rsidR="00B44BDB" w:rsidRPr="0056642A">
        <w:rPr>
          <w:rFonts w:ascii="Arial" w:hAnsi="Arial" w:cs="Arial"/>
          <w:bCs/>
          <w:sz w:val="22"/>
          <w:szCs w:val="22"/>
        </w:rPr>
        <w:t xml:space="preserve">investičním </w:t>
      </w:r>
      <w:r w:rsidRPr="0056642A">
        <w:rPr>
          <w:rFonts w:ascii="Arial" w:hAnsi="Arial" w:cs="Arial"/>
          <w:bCs/>
          <w:sz w:val="22"/>
          <w:szCs w:val="22"/>
        </w:rPr>
        <w:t>objemu přes</w:t>
      </w:r>
      <w:r w:rsidR="0056642A">
        <w:rPr>
          <w:rFonts w:ascii="Arial" w:hAnsi="Arial" w:cs="Arial"/>
          <w:bCs/>
          <w:sz w:val="22"/>
          <w:szCs w:val="22"/>
        </w:rPr>
        <w:t xml:space="preserve"> 3,3 miliardy EUR</w:t>
      </w:r>
      <w:r w:rsidR="00294CFD">
        <w:rPr>
          <w:rFonts w:ascii="Arial" w:hAnsi="Arial" w:cs="Arial"/>
          <w:bCs/>
          <w:sz w:val="22"/>
          <w:szCs w:val="22"/>
        </w:rPr>
        <w:t>, které by mohly být uzavřené do konce roku 2017</w:t>
      </w:r>
      <w:r w:rsidR="002C5416">
        <w:rPr>
          <w:rFonts w:ascii="Arial" w:hAnsi="Arial" w:cs="Arial"/>
          <w:bCs/>
          <w:sz w:val="22"/>
          <w:szCs w:val="22"/>
        </w:rPr>
        <w:t>.</w:t>
      </w:r>
      <w:r w:rsidRPr="0056642A">
        <w:rPr>
          <w:rFonts w:ascii="Arial" w:hAnsi="Arial" w:cs="Arial"/>
          <w:bCs/>
          <w:sz w:val="22"/>
          <w:szCs w:val="22"/>
        </w:rPr>
        <w:t xml:space="preserve"> </w:t>
      </w:r>
      <w:r w:rsidR="0056642A">
        <w:rPr>
          <w:rFonts w:ascii="Arial" w:hAnsi="Arial" w:cs="Arial"/>
          <w:bCs/>
          <w:sz w:val="22"/>
          <w:szCs w:val="22"/>
        </w:rPr>
        <w:t>Dále p</w:t>
      </w:r>
      <w:r w:rsidR="00B44BDB" w:rsidRPr="0056642A">
        <w:rPr>
          <w:rFonts w:ascii="Arial" w:hAnsi="Arial" w:cs="Arial"/>
          <w:bCs/>
          <w:sz w:val="22"/>
          <w:szCs w:val="22"/>
        </w:rPr>
        <w:t>ředpokládáme</w:t>
      </w:r>
      <w:r w:rsidRPr="0056642A">
        <w:rPr>
          <w:rFonts w:ascii="Arial" w:hAnsi="Arial" w:cs="Arial"/>
          <w:bCs/>
          <w:sz w:val="22"/>
          <w:szCs w:val="22"/>
        </w:rPr>
        <w:t xml:space="preserve">, </w:t>
      </w:r>
      <w:r w:rsidR="00B44BDB" w:rsidRPr="0056642A">
        <w:rPr>
          <w:rFonts w:ascii="Arial" w:hAnsi="Arial" w:cs="Arial"/>
          <w:bCs/>
          <w:sz w:val="22"/>
          <w:szCs w:val="22"/>
        </w:rPr>
        <w:t xml:space="preserve">že </w:t>
      </w:r>
      <w:r w:rsidRPr="0056642A">
        <w:rPr>
          <w:rFonts w:ascii="Arial" w:hAnsi="Arial" w:cs="Arial"/>
          <w:bCs/>
          <w:sz w:val="22"/>
          <w:szCs w:val="22"/>
        </w:rPr>
        <w:t>více než 50</w:t>
      </w:r>
      <w:r w:rsidR="00B44BDB" w:rsidRPr="0056642A">
        <w:rPr>
          <w:rFonts w:ascii="Arial" w:hAnsi="Arial" w:cs="Arial"/>
          <w:bCs/>
          <w:sz w:val="22"/>
          <w:szCs w:val="22"/>
        </w:rPr>
        <w:t xml:space="preserve"> </w:t>
      </w:r>
      <w:r w:rsidRPr="0056642A">
        <w:rPr>
          <w:rFonts w:ascii="Arial" w:hAnsi="Arial" w:cs="Arial"/>
          <w:bCs/>
          <w:sz w:val="22"/>
          <w:szCs w:val="22"/>
        </w:rPr>
        <w:t xml:space="preserve">% z celkového objemu investic v roce 2017 </w:t>
      </w:r>
      <w:r w:rsidR="00B44BDB" w:rsidRPr="0056642A">
        <w:rPr>
          <w:rFonts w:ascii="Arial" w:hAnsi="Arial" w:cs="Arial"/>
          <w:bCs/>
          <w:sz w:val="22"/>
          <w:szCs w:val="22"/>
        </w:rPr>
        <w:t>proběhne v regionech</w:t>
      </w:r>
      <w:r w:rsidRPr="0056642A">
        <w:rPr>
          <w:rFonts w:ascii="Arial" w:hAnsi="Arial" w:cs="Arial"/>
          <w:bCs/>
          <w:sz w:val="22"/>
          <w:szCs w:val="22"/>
        </w:rPr>
        <w:t>.</w:t>
      </w:r>
    </w:p>
    <w:p w14:paraId="4F3E7143" w14:textId="34955BD6" w:rsidR="00E807F0" w:rsidRDefault="00E807F0" w:rsidP="00AB7031">
      <w:pPr>
        <w:spacing w:line="360" w:lineRule="auto"/>
        <w:jc w:val="both"/>
        <w:rPr>
          <w:rFonts w:ascii="Arial" w:hAnsi="Arial" w:cs="Arial"/>
          <w:bCs/>
        </w:rPr>
      </w:pPr>
    </w:p>
    <w:p w14:paraId="60F0FE67" w14:textId="6429593B" w:rsidR="007B229C" w:rsidRPr="0056642A" w:rsidRDefault="007B229C" w:rsidP="00AB703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6642A">
        <w:rPr>
          <w:rFonts w:ascii="Arial" w:hAnsi="Arial" w:cs="Arial"/>
          <w:bCs/>
          <w:sz w:val="22"/>
          <w:szCs w:val="22"/>
        </w:rPr>
        <w:t xml:space="preserve">Tahounem poptávky na pražském kancelářském trhu bude nadále stěhování a expanze firem. </w:t>
      </w:r>
      <w:r w:rsidR="001861A0" w:rsidRPr="0056642A">
        <w:rPr>
          <w:rFonts w:ascii="Arial" w:hAnsi="Arial" w:cs="Arial"/>
          <w:bCs/>
          <w:sz w:val="22"/>
          <w:szCs w:val="22"/>
        </w:rPr>
        <w:t xml:space="preserve">Vyšší </w:t>
      </w:r>
      <w:r w:rsidR="00E96C0C" w:rsidRPr="0056642A">
        <w:rPr>
          <w:rFonts w:ascii="Arial" w:hAnsi="Arial" w:cs="Arial"/>
          <w:bCs/>
          <w:sz w:val="22"/>
          <w:szCs w:val="22"/>
        </w:rPr>
        <w:t>nárůst</w:t>
      </w:r>
      <w:r w:rsidR="001861A0" w:rsidRPr="0056642A">
        <w:rPr>
          <w:rFonts w:ascii="Arial" w:hAnsi="Arial" w:cs="Arial"/>
          <w:bCs/>
          <w:sz w:val="22"/>
          <w:szCs w:val="22"/>
        </w:rPr>
        <w:t xml:space="preserve"> nových</w:t>
      </w:r>
      <w:r w:rsidRPr="0056642A">
        <w:rPr>
          <w:rFonts w:ascii="Arial" w:hAnsi="Arial" w:cs="Arial"/>
          <w:bCs/>
          <w:sz w:val="22"/>
          <w:szCs w:val="22"/>
        </w:rPr>
        <w:t xml:space="preserve"> </w:t>
      </w:r>
      <w:r w:rsidR="001861A0" w:rsidRPr="0056642A">
        <w:rPr>
          <w:rFonts w:ascii="Arial" w:hAnsi="Arial" w:cs="Arial"/>
          <w:bCs/>
          <w:sz w:val="22"/>
          <w:szCs w:val="22"/>
        </w:rPr>
        <w:t>k</w:t>
      </w:r>
      <w:r w:rsidRPr="0056642A">
        <w:rPr>
          <w:rFonts w:ascii="Arial" w:hAnsi="Arial" w:cs="Arial"/>
          <w:bCs/>
          <w:sz w:val="22"/>
          <w:szCs w:val="22"/>
        </w:rPr>
        <w:t>ancelářských ploch</w:t>
      </w:r>
      <w:r w:rsidR="0056642A">
        <w:rPr>
          <w:rFonts w:ascii="Arial" w:hAnsi="Arial" w:cs="Arial"/>
          <w:bCs/>
          <w:sz w:val="22"/>
          <w:szCs w:val="22"/>
        </w:rPr>
        <w:t>,</w:t>
      </w:r>
      <w:r w:rsidRPr="0056642A">
        <w:rPr>
          <w:rFonts w:ascii="Arial" w:hAnsi="Arial" w:cs="Arial"/>
          <w:bCs/>
          <w:sz w:val="22"/>
          <w:szCs w:val="22"/>
        </w:rPr>
        <w:t xml:space="preserve"> by</w:t>
      </w:r>
      <w:r w:rsidR="00E96C0C" w:rsidRPr="0056642A">
        <w:rPr>
          <w:rFonts w:ascii="Arial" w:hAnsi="Arial" w:cs="Arial"/>
          <w:bCs/>
          <w:sz w:val="22"/>
          <w:szCs w:val="22"/>
        </w:rPr>
        <w:t xml:space="preserve"> </w:t>
      </w:r>
      <w:r w:rsidR="00294CFD">
        <w:rPr>
          <w:rFonts w:ascii="Arial" w:hAnsi="Arial" w:cs="Arial"/>
          <w:bCs/>
          <w:sz w:val="22"/>
          <w:szCs w:val="22"/>
        </w:rPr>
        <w:t xml:space="preserve">mohl </w:t>
      </w:r>
      <w:r w:rsidR="001861A0" w:rsidRPr="0056642A">
        <w:rPr>
          <w:rFonts w:ascii="Arial" w:hAnsi="Arial" w:cs="Arial"/>
          <w:bCs/>
          <w:sz w:val="22"/>
          <w:szCs w:val="22"/>
        </w:rPr>
        <w:t xml:space="preserve">vést ke krátkodobému </w:t>
      </w:r>
      <w:r w:rsidR="00294CFD">
        <w:rPr>
          <w:rFonts w:ascii="Arial" w:hAnsi="Arial" w:cs="Arial"/>
          <w:bCs/>
          <w:sz w:val="22"/>
          <w:szCs w:val="22"/>
        </w:rPr>
        <w:t xml:space="preserve">mírnému </w:t>
      </w:r>
      <w:r w:rsidR="00E96C0C" w:rsidRPr="0056642A">
        <w:rPr>
          <w:rFonts w:ascii="Arial" w:hAnsi="Arial" w:cs="Arial"/>
          <w:bCs/>
          <w:sz w:val="22"/>
          <w:szCs w:val="22"/>
        </w:rPr>
        <w:t>zvýšení</w:t>
      </w:r>
      <w:r w:rsidRPr="0056642A">
        <w:rPr>
          <w:rFonts w:ascii="Arial" w:hAnsi="Arial" w:cs="Arial"/>
          <w:bCs/>
          <w:sz w:val="22"/>
          <w:szCs w:val="22"/>
        </w:rPr>
        <w:t xml:space="preserve"> míry neobsazenosti. Průměrné </w:t>
      </w:r>
      <w:r w:rsidR="00294CFD">
        <w:rPr>
          <w:rFonts w:ascii="Arial" w:hAnsi="Arial" w:cs="Arial"/>
          <w:bCs/>
          <w:sz w:val="22"/>
          <w:szCs w:val="22"/>
        </w:rPr>
        <w:t xml:space="preserve">dosahované </w:t>
      </w:r>
      <w:r w:rsidRPr="0056642A">
        <w:rPr>
          <w:rFonts w:ascii="Arial" w:hAnsi="Arial" w:cs="Arial"/>
          <w:bCs/>
          <w:sz w:val="22"/>
          <w:szCs w:val="22"/>
        </w:rPr>
        <w:t>nájemné v</w:t>
      </w:r>
      <w:r w:rsidR="00E96C0C" w:rsidRPr="0056642A">
        <w:rPr>
          <w:rFonts w:ascii="Arial" w:hAnsi="Arial" w:cs="Arial"/>
          <w:bCs/>
          <w:sz w:val="22"/>
          <w:szCs w:val="22"/>
        </w:rPr>
        <w:t> </w:t>
      </w:r>
      <w:proofErr w:type="spellStart"/>
      <w:r w:rsidR="00E96C0C" w:rsidRPr="0056642A">
        <w:rPr>
          <w:rFonts w:ascii="Arial" w:hAnsi="Arial" w:cs="Arial"/>
          <w:bCs/>
          <w:sz w:val="22"/>
          <w:szCs w:val="22"/>
        </w:rPr>
        <w:t>nejpoptávanějších</w:t>
      </w:r>
      <w:proofErr w:type="spellEnd"/>
      <w:r w:rsidR="00E96C0C" w:rsidRPr="0056642A">
        <w:rPr>
          <w:rFonts w:ascii="Arial" w:hAnsi="Arial" w:cs="Arial"/>
          <w:bCs/>
          <w:sz w:val="22"/>
          <w:szCs w:val="22"/>
        </w:rPr>
        <w:t xml:space="preserve"> lokalitách se </w:t>
      </w:r>
      <w:r w:rsidRPr="0056642A">
        <w:rPr>
          <w:rFonts w:ascii="Arial" w:hAnsi="Arial" w:cs="Arial"/>
          <w:bCs/>
          <w:sz w:val="22"/>
          <w:szCs w:val="22"/>
        </w:rPr>
        <w:t xml:space="preserve">může </w:t>
      </w:r>
      <w:r w:rsidR="00294CFD">
        <w:rPr>
          <w:rFonts w:ascii="Arial" w:hAnsi="Arial" w:cs="Arial"/>
          <w:bCs/>
          <w:sz w:val="22"/>
          <w:szCs w:val="22"/>
        </w:rPr>
        <w:t>trochu</w:t>
      </w:r>
      <w:r w:rsidRPr="0056642A">
        <w:rPr>
          <w:rFonts w:ascii="Arial" w:hAnsi="Arial" w:cs="Arial"/>
          <w:bCs/>
          <w:sz w:val="22"/>
          <w:szCs w:val="22"/>
        </w:rPr>
        <w:t xml:space="preserve"> zvýšit z důvodu </w:t>
      </w:r>
      <w:r w:rsidR="00E96C0C" w:rsidRPr="0056642A">
        <w:rPr>
          <w:rFonts w:ascii="Arial" w:hAnsi="Arial" w:cs="Arial"/>
          <w:bCs/>
          <w:sz w:val="22"/>
          <w:szCs w:val="22"/>
        </w:rPr>
        <w:t xml:space="preserve">dočasné nedostupnosti volných kancelářských prostor. </w:t>
      </w:r>
      <w:r w:rsidR="002227C6" w:rsidRPr="0056642A">
        <w:rPr>
          <w:rFonts w:ascii="Arial" w:hAnsi="Arial" w:cs="Arial"/>
          <w:bCs/>
          <w:sz w:val="22"/>
          <w:szCs w:val="22"/>
        </w:rPr>
        <w:t xml:space="preserve">V roce 2017 bude dokončeno </w:t>
      </w:r>
      <w:r w:rsidR="00E96C0C" w:rsidRPr="0056642A">
        <w:rPr>
          <w:rFonts w:ascii="Arial" w:hAnsi="Arial" w:cs="Arial"/>
          <w:bCs/>
          <w:sz w:val="22"/>
          <w:szCs w:val="22"/>
        </w:rPr>
        <w:t>1</w:t>
      </w:r>
      <w:r w:rsidR="00294CFD">
        <w:rPr>
          <w:rFonts w:ascii="Arial" w:hAnsi="Arial" w:cs="Arial"/>
          <w:bCs/>
          <w:sz w:val="22"/>
          <w:szCs w:val="22"/>
        </w:rPr>
        <w:t xml:space="preserve">78 800 </w:t>
      </w:r>
      <w:r w:rsidR="00E96C0C" w:rsidRPr="0056642A">
        <w:rPr>
          <w:rFonts w:ascii="Arial" w:hAnsi="Arial" w:cs="Arial"/>
          <w:bCs/>
          <w:sz w:val="22"/>
          <w:szCs w:val="22"/>
        </w:rPr>
        <w:t>m</w:t>
      </w:r>
      <w:r w:rsidR="00E96C0C" w:rsidRPr="0056642A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E96C0C" w:rsidRPr="0056642A">
        <w:rPr>
          <w:rFonts w:ascii="Arial" w:hAnsi="Arial" w:cs="Arial"/>
          <w:bCs/>
          <w:sz w:val="22"/>
          <w:szCs w:val="22"/>
        </w:rPr>
        <w:t xml:space="preserve"> kancelářských prostor </w:t>
      </w:r>
      <w:r w:rsidRPr="0056642A">
        <w:rPr>
          <w:rFonts w:ascii="Arial" w:hAnsi="Arial" w:cs="Arial"/>
          <w:bCs/>
          <w:sz w:val="22"/>
          <w:szCs w:val="22"/>
        </w:rPr>
        <w:t>v</w:t>
      </w:r>
      <w:r w:rsidR="00E96C0C" w:rsidRPr="0056642A">
        <w:rPr>
          <w:rFonts w:ascii="Arial" w:hAnsi="Arial" w:cs="Arial"/>
          <w:bCs/>
          <w:sz w:val="22"/>
          <w:szCs w:val="22"/>
        </w:rPr>
        <w:t> </w:t>
      </w:r>
      <w:r w:rsidRPr="0056642A">
        <w:rPr>
          <w:rFonts w:ascii="Arial" w:hAnsi="Arial" w:cs="Arial"/>
          <w:bCs/>
          <w:sz w:val="22"/>
          <w:szCs w:val="22"/>
        </w:rPr>
        <w:t>šestnácti</w:t>
      </w:r>
      <w:r w:rsidR="00E96C0C" w:rsidRPr="0056642A">
        <w:rPr>
          <w:rFonts w:ascii="Arial" w:hAnsi="Arial" w:cs="Arial"/>
          <w:bCs/>
          <w:sz w:val="22"/>
          <w:szCs w:val="22"/>
        </w:rPr>
        <w:t xml:space="preserve"> projektech</w:t>
      </w:r>
      <w:r w:rsidR="002227C6" w:rsidRPr="0056642A">
        <w:rPr>
          <w:rFonts w:ascii="Arial" w:hAnsi="Arial" w:cs="Arial"/>
          <w:bCs/>
          <w:sz w:val="22"/>
          <w:szCs w:val="22"/>
        </w:rPr>
        <w:t>, které se nachází</w:t>
      </w:r>
      <w:r w:rsidRPr="0056642A">
        <w:rPr>
          <w:rFonts w:ascii="Arial" w:hAnsi="Arial" w:cs="Arial"/>
          <w:bCs/>
          <w:sz w:val="22"/>
          <w:szCs w:val="22"/>
        </w:rPr>
        <w:t xml:space="preserve"> v</w:t>
      </w:r>
      <w:r w:rsidR="0067615A">
        <w:rPr>
          <w:rFonts w:ascii="Arial" w:hAnsi="Arial" w:cs="Arial"/>
          <w:bCs/>
          <w:sz w:val="22"/>
          <w:szCs w:val="22"/>
        </w:rPr>
        <w:t> </w:t>
      </w:r>
      <w:r w:rsidRPr="0056642A">
        <w:rPr>
          <w:rFonts w:ascii="Arial" w:hAnsi="Arial" w:cs="Arial"/>
          <w:bCs/>
          <w:sz w:val="22"/>
          <w:szCs w:val="22"/>
        </w:rPr>
        <w:t>zavedených kancelářských lokalitách jako</w:t>
      </w:r>
      <w:r w:rsidR="002227C6" w:rsidRPr="0056642A">
        <w:rPr>
          <w:rFonts w:ascii="Arial" w:hAnsi="Arial" w:cs="Arial"/>
          <w:bCs/>
          <w:sz w:val="22"/>
          <w:szCs w:val="22"/>
        </w:rPr>
        <w:t xml:space="preserve"> jsou</w:t>
      </w:r>
      <w:r w:rsidRPr="0056642A">
        <w:rPr>
          <w:rFonts w:ascii="Arial" w:hAnsi="Arial" w:cs="Arial"/>
          <w:bCs/>
          <w:sz w:val="22"/>
          <w:szCs w:val="22"/>
        </w:rPr>
        <w:t xml:space="preserve"> Butovice-Stodůlk</w:t>
      </w:r>
      <w:r w:rsidR="002227C6" w:rsidRPr="0056642A">
        <w:rPr>
          <w:rFonts w:ascii="Arial" w:hAnsi="Arial" w:cs="Arial"/>
          <w:bCs/>
          <w:sz w:val="22"/>
          <w:szCs w:val="22"/>
        </w:rPr>
        <w:t>y, Pankrác-Budějovická a Karlín</w:t>
      </w:r>
      <w:r w:rsidRPr="0056642A">
        <w:rPr>
          <w:rFonts w:ascii="Arial" w:hAnsi="Arial" w:cs="Arial"/>
          <w:bCs/>
          <w:sz w:val="22"/>
          <w:szCs w:val="22"/>
        </w:rPr>
        <w:t>.</w:t>
      </w:r>
    </w:p>
    <w:p w14:paraId="5F7FD8AC" w14:textId="77777777" w:rsidR="007B229C" w:rsidRDefault="007B229C" w:rsidP="00AB7031">
      <w:pPr>
        <w:spacing w:line="360" w:lineRule="auto"/>
        <w:jc w:val="both"/>
        <w:rPr>
          <w:rFonts w:ascii="Arial" w:hAnsi="Arial" w:cs="Arial"/>
          <w:bCs/>
        </w:rPr>
      </w:pPr>
    </w:p>
    <w:p w14:paraId="5CBEBF7C" w14:textId="60B3172C" w:rsidR="002227C6" w:rsidRPr="0056642A" w:rsidRDefault="000A2486" w:rsidP="00AB703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6642A">
        <w:rPr>
          <w:rFonts w:ascii="Arial" w:hAnsi="Arial" w:cs="Arial"/>
          <w:bCs/>
          <w:sz w:val="22"/>
          <w:szCs w:val="22"/>
        </w:rPr>
        <w:t>Tahounem poptávky industriálního a logistického</w:t>
      </w:r>
      <w:r w:rsidR="002227C6" w:rsidRPr="0056642A">
        <w:rPr>
          <w:rFonts w:ascii="Arial" w:hAnsi="Arial" w:cs="Arial"/>
          <w:bCs/>
          <w:sz w:val="22"/>
          <w:szCs w:val="22"/>
        </w:rPr>
        <w:t xml:space="preserve"> </w:t>
      </w:r>
      <w:r w:rsidRPr="0056642A">
        <w:rPr>
          <w:rFonts w:ascii="Arial" w:hAnsi="Arial" w:cs="Arial"/>
          <w:bCs/>
          <w:sz w:val="22"/>
          <w:szCs w:val="22"/>
        </w:rPr>
        <w:t>trhu bude nadále logistika, e-</w:t>
      </w:r>
      <w:proofErr w:type="spellStart"/>
      <w:r w:rsidRPr="0056642A">
        <w:rPr>
          <w:rFonts w:ascii="Arial" w:hAnsi="Arial" w:cs="Arial"/>
          <w:bCs/>
          <w:sz w:val="22"/>
          <w:szCs w:val="22"/>
        </w:rPr>
        <w:t>commerce</w:t>
      </w:r>
      <w:proofErr w:type="spellEnd"/>
      <w:r w:rsidRPr="0056642A">
        <w:rPr>
          <w:rFonts w:ascii="Arial" w:hAnsi="Arial" w:cs="Arial"/>
          <w:bCs/>
          <w:sz w:val="22"/>
          <w:szCs w:val="22"/>
        </w:rPr>
        <w:t xml:space="preserve"> a</w:t>
      </w:r>
      <w:r w:rsidR="0067615A">
        <w:rPr>
          <w:rFonts w:ascii="Arial" w:hAnsi="Arial" w:cs="Arial"/>
          <w:bCs/>
          <w:sz w:val="22"/>
          <w:szCs w:val="22"/>
        </w:rPr>
        <w:t> </w:t>
      </w:r>
      <w:r w:rsidRPr="0056642A">
        <w:rPr>
          <w:rFonts w:ascii="Arial" w:hAnsi="Arial" w:cs="Arial"/>
          <w:bCs/>
          <w:sz w:val="22"/>
          <w:szCs w:val="22"/>
        </w:rPr>
        <w:t>automobilový průmysl.</w:t>
      </w:r>
      <w:r w:rsidR="002227C6" w:rsidRPr="0056642A">
        <w:rPr>
          <w:rFonts w:ascii="Arial" w:hAnsi="Arial" w:cs="Arial"/>
          <w:bCs/>
          <w:sz w:val="22"/>
          <w:szCs w:val="22"/>
        </w:rPr>
        <w:t xml:space="preserve"> </w:t>
      </w:r>
      <w:r w:rsidR="00CB488A">
        <w:rPr>
          <w:rFonts w:ascii="Arial" w:hAnsi="Arial" w:cs="Arial"/>
          <w:bCs/>
          <w:sz w:val="22"/>
          <w:szCs w:val="22"/>
        </w:rPr>
        <w:t>Dostupnost a náklady na pracovní sílu budou klíčové pro rozhodnutí o</w:t>
      </w:r>
      <w:r w:rsidR="0067615A">
        <w:rPr>
          <w:rFonts w:ascii="Arial" w:hAnsi="Arial" w:cs="Arial"/>
          <w:bCs/>
          <w:sz w:val="22"/>
          <w:szCs w:val="22"/>
        </w:rPr>
        <w:t> </w:t>
      </w:r>
      <w:r w:rsidR="00CB488A">
        <w:rPr>
          <w:rFonts w:ascii="Arial" w:hAnsi="Arial" w:cs="Arial"/>
          <w:bCs/>
          <w:sz w:val="22"/>
          <w:szCs w:val="22"/>
        </w:rPr>
        <w:t>lokalitě industriální jednotky</w:t>
      </w:r>
      <w:r w:rsidR="002227C6" w:rsidRPr="0056642A">
        <w:rPr>
          <w:rFonts w:ascii="Arial" w:hAnsi="Arial" w:cs="Arial"/>
          <w:bCs/>
          <w:sz w:val="22"/>
          <w:szCs w:val="22"/>
        </w:rPr>
        <w:t xml:space="preserve">. Kromě nových </w:t>
      </w:r>
      <w:r w:rsidRPr="0056642A">
        <w:rPr>
          <w:rFonts w:ascii="Arial" w:hAnsi="Arial" w:cs="Arial"/>
          <w:bCs/>
          <w:sz w:val="22"/>
          <w:szCs w:val="22"/>
        </w:rPr>
        <w:t xml:space="preserve">tzv. </w:t>
      </w:r>
      <w:r w:rsidR="002227C6" w:rsidRPr="0056642A">
        <w:rPr>
          <w:rFonts w:ascii="Arial" w:hAnsi="Arial" w:cs="Arial"/>
          <w:bCs/>
          <w:sz w:val="22"/>
          <w:szCs w:val="22"/>
        </w:rPr>
        <w:t>XXL skladů, očekáváme nárůst požadavků na mnohem menší</w:t>
      </w:r>
      <w:r w:rsidRPr="0056642A">
        <w:rPr>
          <w:rFonts w:ascii="Arial" w:hAnsi="Arial" w:cs="Arial"/>
          <w:bCs/>
          <w:sz w:val="22"/>
          <w:szCs w:val="22"/>
        </w:rPr>
        <w:t xml:space="preserve"> sklady v blízkosti centra měst nebo tzv. </w:t>
      </w:r>
      <w:r w:rsidR="00622F73" w:rsidRPr="0056642A">
        <w:rPr>
          <w:rFonts w:ascii="Arial" w:hAnsi="Arial" w:cs="Arial"/>
          <w:bCs/>
          <w:sz w:val="22"/>
          <w:szCs w:val="22"/>
        </w:rPr>
        <w:t>„</w:t>
      </w:r>
      <w:r w:rsidRPr="0056642A">
        <w:rPr>
          <w:rFonts w:ascii="Arial" w:hAnsi="Arial" w:cs="Arial"/>
          <w:bCs/>
          <w:sz w:val="22"/>
          <w:szCs w:val="22"/>
        </w:rPr>
        <w:t xml:space="preserve">last mile </w:t>
      </w:r>
      <w:proofErr w:type="spellStart"/>
      <w:r w:rsidRPr="0056642A">
        <w:rPr>
          <w:rFonts w:ascii="Arial" w:hAnsi="Arial" w:cs="Arial"/>
          <w:bCs/>
          <w:sz w:val="22"/>
          <w:szCs w:val="22"/>
        </w:rPr>
        <w:t>delivery</w:t>
      </w:r>
      <w:proofErr w:type="spellEnd"/>
      <w:r w:rsidRPr="0056642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6642A">
        <w:rPr>
          <w:rFonts w:ascii="Arial" w:hAnsi="Arial" w:cs="Arial"/>
          <w:bCs/>
          <w:sz w:val="22"/>
          <w:szCs w:val="22"/>
        </w:rPr>
        <w:t>facilities</w:t>
      </w:r>
      <w:proofErr w:type="spellEnd"/>
      <w:r w:rsidR="00622F73" w:rsidRPr="0056642A">
        <w:rPr>
          <w:rFonts w:ascii="Arial" w:hAnsi="Arial" w:cs="Arial"/>
          <w:bCs/>
          <w:sz w:val="22"/>
          <w:szCs w:val="22"/>
        </w:rPr>
        <w:t>“</w:t>
      </w:r>
      <w:r w:rsidR="002227C6" w:rsidRPr="0056642A">
        <w:rPr>
          <w:rFonts w:ascii="Arial" w:hAnsi="Arial" w:cs="Arial"/>
          <w:bCs/>
          <w:sz w:val="22"/>
          <w:szCs w:val="22"/>
        </w:rPr>
        <w:t>.</w:t>
      </w:r>
    </w:p>
    <w:p w14:paraId="66F590BA" w14:textId="77777777" w:rsidR="00AB7031" w:rsidRPr="002006F6" w:rsidRDefault="00AB7031" w:rsidP="00AB7031">
      <w:pPr>
        <w:spacing w:line="360" w:lineRule="auto"/>
        <w:jc w:val="both"/>
        <w:rPr>
          <w:rFonts w:ascii="Arial" w:hAnsi="Arial" w:cs="Arial"/>
          <w:bCs/>
        </w:rPr>
      </w:pPr>
    </w:p>
    <w:p w14:paraId="4F3ECFC4" w14:textId="37A7E3CA" w:rsidR="00782FA3" w:rsidRPr="00CB488A" w:rsidRDefault="00486A91" w:rsidP="00AB703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Současná s</w:t>
      </w:r>
      <w:r w:rsidR="00782FA3" w:rsidRPr="00CB488A">
        <w:rPr>
          <w:rFonts w:ascii="Arial" w:hAnsi="Arial" w:cs="Arial"/>
          <w:bCs/>
          <w:sz w:val="22"/>
          <w:szCs w:val="22"/>
        </w:rPr>
        <w:t xml:space="preserve">tabilita maloobchodního trhu je podporována faktem, že na trh přichází malý počet nových obchodních center a maloobchodníci lépe předvídají expanzi současných obchodních center. </w:t>
      </w:r>
      <w:r w:rsidR="0092243E" w:rsidRPr="00CB488A">
        <w:rPr>
          <w:rFonts w:ascii="Arial" w:hAnsi="Arial" w:cs="Arial"/>
          <w:bCs/>
          <w:sz w:val="22"/>
          <w:szCs w:val="22"/>
        </w:rPr>
        <w:t>Jelikož nejsou k dispozici téměř žádné prémiové prostory, o</w:t>
      </w:r>
      <w:r w:rsidR="00782FA3" w:rsidRPr="00CB488A">
        <w:rPr>
          <w:rFonts w:ascii="Arial" w:hAnsi="Arial" w:cs="Arial"/>
          <w:bCs/>
          <w:sz w:val="22"/>
          <w:szCs w:val="22"/>
        </w:rPr>
        <w:t xml:space="preserve">čekáváme, že </w:t>
      </w:r>
      <w:r w:rsidR="00EE40C7">
        <w:rPr>
          <w:rFonts w:ascii="Arial" w:hAnsi="Arial" w:cs="Arial"/>
          <w:bCs/>
          <w:sz w:val="22"/>
          <w:szCs w:val="22"/>
        </w:rPr>
        <w:t xml:space="preserve">prime </w:t>
      </w:r>
      <w:proofErr w:type="spellStart"/>
      <w:r w:rsidR="00EE40C7">
        <w:rPr>
          <w:rFonts w:ascii="Arial" w:hAnsi="Arial" w:cs="Arial"/>
          <w:bCs/>
          <w:sz w:val="22"/>
          <w:szCs w:val="22"/>
        </w:rPr>
        <w:t>rents</w:t>
      </w:r>
      <w:proofErr w:type="spellEnd"/>
      <w:r w:rsidR="0092243E" w:rsidRPr="00CB488A">
        <w:rPr>
          <w:rFonts w:ascii="Arial" w:hAnsi="Arial" w:cs="Arial"/>
          <w:bCs/>
          <w:sz w:val="22"/>
          <w:szCs w:val="22"/>
        </w:rPr>
        <w:t xml:space="preserve"> </w:t>
      </w:r>
      <w:r w:rsidR="00782FA3" w:rsidRPr="00CB488A">
        <w:rPr>
          <w:rFonts w:ascii="Arial" w:hAnsi="Arial" w:cs="Arial"/>
          <w:bCs/>
          <w:sz w:val="22"/>
          <w:szCs w:val="22"/>
        </w:rPr>
        <w:t>nadále poroste</w:t>
      </w:r>
      <w:r w:rsidR="0092243E" w:rsidRPr="00CB488A">
        <w:rPr>
          <w:rFonts w:ascii="Arial" w:hAnsi="Arial" w:cs="Arial"/>
          <w:bCs/>
          <w:sz w:val="22"/>
          <w:szCs w:val="22"/>
        </w:rPr>
        <w:t xml:space="preserve">. </w:t>
      </w:r>
      <w:r w:rsidR="00782FA3" w:rsidRPr="00CB488A">
        <w:rPr>
          <w:rFonts w:ascii="Arial" w:hAnsi="Arial" w:cs="Arial"/>
          <w:bCs/>
          <w:sz w:val="22"/>
          <w:szCs w:val="22"/>
        </w:rPr>
        <w:t>V roce 2017</w:t>
      </w:r>
      <w:r w:rsidR="0092243E" w:rsidRPr="00CB488A">
        <w:rPr>
          <w:rFonts w:ascii="Arial" w:hAnsi="Arial" w:cs="Arial"/>
          <w:bCs/>
          <w:sz w:val="22"/>
          <w:szCs w:val="22"/>
        </w:rPr>
        <w:t xml:space="preserve"> budou dokončena tři nová obchodní</w:t>
      </w:r>
      <w:r w:rsidR="00782FA3" w:rsidRPr="00CB488A">
        <w:rPr>
          <w:rFonts w:ascii="Arial" w:hAnsi="Arial" w:cs="Arial"/>
          <w:bCs/>
          <w:sz w:val="22"/>
          <w:szCs w:val="22"/>
        </w:rPr>
        <w:t xml:space="preserve"> centra: </w:t>
      </w:r>
      <w:proofErr w:type="spellStart"/>
      <w:r w:rsidR="00782FA3" w:rsidRPr="00CB488A">
        <w:rPr>
          <w:rFonts w:ascii="Arial" w:hAnsi="Arial" w:cs="Arial"/>
          <w:bCs/>
          <w:sz w:val="22"/>
          <w:szCs w:val="22"/>
        </w:rPr>
        <w:t>Central</w:t>
      </w:r>
      <w:proofErr w:type="spellEnd"/>
      <w:r w:rsidR="00782FA3" w:rsidRPr="00CB488A">
        <w:rPr>
          <w:rFonts w:ascii="Arial" w:hAnsi="Arial" w:cs="Arial"/>
          <w:bCs/>
          <w:sz w:val="22"/>
          <w:szCs w:val="22"/>
        </w:rPr>
        <w:t xml:space="preserve"> Jablonec, </w:t>
      </w:r>
      <w:r w:rsidR="0092243E" w:rsidRPr="00CB488A">
        <w:rPr>
          <w:rFonts w:ascii="Arial" w:hAnsi="Arial" w:cs="Arial"/>
          <w:bCs/>
          <w:sz w:val="22"/>
          <w:szCs w:val="22"/>
        </w:rPr>
        <w:t xml:space="preserve">expanze </w:t>
      </w:r>
      <w:r w:rsidR="00782FA3" w:rsidRPr="00CB488A">
        <w:rPr>
          <w:rFonts w:ascii="Arial" w:hAnsi="Arial" w:cs="Arial"/>
          <w:bCs/>
          <w:sz w:val="22"/>
          <w:szCs w:val="22"/>
        </w:rPr>
        <w:t xml:space="preserve">Centra Chodov v Praze a </w:t>
      </w:r>
      <w:r w:rsidR="0092243E" w:rsidRPr="00CB488A">
        <w:rPr>
          <w:rFonts w:ascii="Arial" w:hAnsi="Arial" w:cs="Arial"/>
          <w:bCs/>
          <w:sz w:val="22"/>
          <w:szCs w:val="22"/>
        </w:rPr>
        <w:t>expanze</w:t>
      </w:r>
      <w:r w:rsidR="00782FA3" w:rsidRPr="00CB488A">
        <w:rPr>
          <w:rFonts w:ascii="Arial" w:hAnsi="Arial" w:cs="Arial"/>
          <w:bCs/>
          <w:sz w:val="22"/>
          <w:szCs w:val="22"/>
        </w:rPr>
        <w:t xml:space="preserve"> IGY České Budějovice. Kromě </w:t>
      </w:r>
      <w:r w:rsidR="0092243E" w:rsidRPr="00CB488A">
        <w:rPr>
          <w:rFonts w:ascii="Arial" w:hAnsi="Arial" w:cs="Arial"/>
          <w:bCs/>
          <w:sz w:val="22"/>
          <w:szCs w:val="22"/>
        </w:rPr>
        <w:t>otevření nových</w:t>
      </w:r>
      <w:r w:rsidR="00782FA3" w:rsidRPr="00CB488A">
        <w:rPr>
          <w:rFonts w:ascii="Arial" w:hAnsi="Arial" w:cs="Arial"/>
          <w:bCs/>
          <w:sz w:val="22"/>
          <w:szCs w:val="22"/>
        </w:rPr>
        <w:t xml:space="preserve"> </w:t>
      </w:r>
      <w:r w:rsidR="0092243E" w:rsidRPr="00CB488A">
        <w:rPr>
          <w:rFonts w:ascii="Arial" w:hAnsi="Arial" w:cs="Arial"/>
          <w:bCs/>
          <w:sz w:val="22"/>
          <w:szCs w:val="22"/>
        </w:rPr>
        <w:t>obchodních</w:t>
      </w:r>
      <w:r w:rsidR="00782FA3" w:rsidRPr="00CB488A">
        <w:rPr>
          <w:rFonts w:ascii="Arial" w:hAnsi="Arial" w:cs="Arial"/>
          <w:bCs/>
          <w:sz w:val="22"/>
          <w:szCs w:val="22"/>
        </w:rPr>
        <w:t xml:space="preserve"> </w:t>
      </w:r>
      <w:r w:rsidR="00782FA3" w:rsidRPr="00CB488A">
        <w:rPr>
          <w:rFonts w:ascii="Arial" w:hAnsi="Arial" w:cs="Arial"/>
          <w:bCs/>
          <w:sz w:val="22"/>
          <w:szCs w:val="22"/>
        </w:rPr>
        <w:lastRenderedPageBreak/>
        <w:t>cent</w:t>
      </w:r>
      <w:r w:rsidR="0092243E" w:rsidRPr="00CB488A">
        <w:rPr>
          <w:rFonts w:ascii="Arial" w:hAnsi="Arial" w:cs="Arial"/>
          <w:bCs/>
          <w:sz w:val="22"/>
          <w:szCs w:val="22"/>
        </w:rPr>
        <w:t>e</w:t>
      </w:r>
      <w:r w:rsidR="00782FA3" w:rsidRPr="00CB488A">
        <w:rPr>
          <w:rFonts w:ascii="Arial" w:hAnsi="Arial" w:cs="Arial"/>
          <w:bCs/>
          <w:sz w:val="22"/>
          <w:szCs w:val="22"/>
        </w:rPr>
        <w:t>r</w:t>
      </w:r>
      <w:r w:rsidR="0092243E" w:rsidRPr="00CB488A">
        <w:rPr>
          <w:rFonts w:ascii="Arial" w:hAnsi="Arial" w:cs="Arial"/>
          <w:bCs/>
          <w:sz w:val="22"/>
          <w:szCs w:val="22"/>
        </w:rPr>
        <w:t xml:space="preserve">, očekáváme, že </w:t>
      </w:r>
      <w:r>
        <w:rPr>
          <w:rFonts w:ascii="Arial" w:hAnsi="Arial" w:cs="Arial"/>
          <w:bCs/>
          <w:sz w:val="22"/>
          <w:szCs w:val="22"/>
        </w:rPr>
        <w:t xml:space="preserve">by mohla být zahájena </w:t>
      </w:r>
      <w:r w:rsidR="0092243E" w:rsidRPr="00CB488A">
        <w:rPr>
          <w:rFonts w:ascii="Arial" w:hAnsi="Arial" w:cs="Arial"/>
          <w:bCs/>
          <w:sz w:val="22"/>
          <w:szCs w:val="22"/>
        </w:rPr>
        <w:t xml:space="preserve">výstavba tří dalších obchodních center: Bořislavka (10 </w:t>
      </w:r>
      <w:r w:rsidR="00782FA3" w:rsidRPr="00CB488A">
        <w:rPr>
          <w:rFonts w:ascii="Arial" w:hAnsi="Arial" w:cs="Arial"/>
          <w:bCs/>
          <w:sz w:val="22"/>
          <w:szCs w:val="22"/>
        </w:rPr>
        <w:t xml:space="preserve">000 </w:t>
      </w:r>
      <w:r w:rsidR="0092243E" w:rsidRPr="00CB488A">
        <w:rPr>
          <w:rFonts w:ascii="Arial" w:hAnsi="Arial" w:cs="Arial"/>
          <w:bCs/>
          <w:sz w:val="22"/>
          <w:szCs w:val="22"/>
        </w:rPr>
        <w:t>m</w:t>
      </w:r>
      <w:r w:rsidR="0092243E" w:rsidRPr="00CB488A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92243E" w:rsidRPr="00CB488A">
        <w:rPr>
          <w:rFonts w:ascii="Arial" w:hAnsi="Arial" w:cs="Arial"/>
          <w:bCs/>
          <w:sz w:val="22"/>
          <w:szCs w:val="22"/>
        </w:rPr>
        <w:t xml:space="preserve">), Palác Stromovka (13 </w:t>
      </w:r>
      <w:r w:rsidR="00782FA3" w:rsidRPr="00CB488A">
        <w:rPr>
          <w:rFonts w:ascii="Arial" w:hAnsi="Arial" w:cs="Arial"/>
          <w:bCs/>
          <w:sz w:val="22"/>
          <w:szCs w:val="22"/>
        </w:rPr>
        <w:t>000 m²) v Praze a Avion S</w:t>
      </w:r>
      <w:r w:rsidR="0092243E" w:rsidRPr="00CB488A">
        <w:rPr>
          <w:rFonts w:ascii="Arial" w:hAnsi="Arial" w:cs="Arial"/>
          <w:bCs/>
          <w:sz w:val="22"/>
          <w:szCs w:val="22"/>
        </w:rPr>
        <w:t xml:space="preserve">hopping Parku v Brně (13 </w:t>
      </w:r>
      <w:r w:rsidR="00782FA3" w:rsidRPr="00CB488A">
        <w:rPr>
          <w:rFonts w:ascii="Arial" w:hAnsi="Arial" w:cs="Arial"/>
          <w:bCs/>
          <w:sz w:val="22"/>
          <w:szCs w:val="22"/>
        </w:rPr>
        <w:t xml:space="preserve">200 m²). </w:t>
      </w:r>
      <w:r w:rsidR="00606234" w:rsidRPr="00CB488A">
        <w:rPr>
          <w:rFonts w:ascii="Arial" w:hAnsi="Arial" w:cs="Arial"/>
          <w:bCs/>
          <w:sz w:val="22"/>
          <w:szCs w:val="22"/>
        </w:rPr>
        <w:t>Také bude dokončen</w:t>
      </w:r>
      <w:r w:rsidR="00CB488A">
        <w:rPr>
          <w:rFonts w:ascii="Arial" w:hAnsi="Arial" w:cs="Arial"/>
          <w:bCs/>
          <w:sz w:val="22"/>
          <w:szCs w:val="22"/>
        </w:rPr>
        <w:t>a</w:t>
      </w:r>
      <w:r w:rsidR="00606234" w:rsidRPr="00CB488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06234" w:rsidRPr="00CB488A">
        <w:rPr>
          <w:rFonts w:ascii="Arial" w:hAnsi="Arial" w:cs="Arial"/>
          <w:bCs/>
          <w:sz w:val="22"/>
          <w:szCs w:val="22"/>
        </w:rPr>
        <w:t>Outlet</w:t>
      </w:r>
      <w:proofErr w:type="spellEnd"/>
      <w:r w:rsidR="00606234" w:rsidRPr="00CB488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06234" w:rsidRPr="00CB488A">
        <w:rPr>
          <w:rFonts w:ascii="Arial" w:hAnsi="Arial" w:cs="Arial"/>
          <w:bCs/>
          <w:sz w:val="22"/>
          <w:szCs w:val="22"/>
        </w:rPr>
        <w:t>Arena</w:t>
      </w:r>
      <w:proofErr w:type="spellEnd"/>
      <w:r w:rsidR="00606234" w:rsidRPr="00CB488A">
        <w:rPr>
          <w:rFonts w:ascii="Arial" w:hAnsi="Arial" w:cs="Arial"/>
          <w:bCs/>
          <w:sz w:val="22"/>
          <w:szCs w:val="22"/>
        </w:rPr>
        <w:t xml:space="preserve"> Morava (11 700 m²)</w:t>
      </w:r>
      <w:r w:rsidR="00782FA3" w:rsidRPr="00CB488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9B348FD" w14:textId="77777777" w:rsidR="00782FA3" w:rsidRDefault="00782FA3" w:rsidP="00AB7031">
      <w:pPr>
        <w:spacing w:line="360" w:lineRule="auto"/>
        <w:jc w:val="both"/>
        <w:rPr>
          <w:rFonts w:ascii="Arial" w:hAnsi="Arial" w:cs="Arial"/>
          <w:bCs/>
        </w:rPr>
      </w:pPr>
    </w:p>
    <w:p w14:paraId="3895516D" w14:textId="77777777" w:rsidR="00111F1D" w:rsidRPr="002006F6" w:rsidRDefault="00111F1D" w:rsidP="00111F1D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536187FB" w14:textId="77777777" w:rsidR="00111F1D" w:rsidRPr="002006F6" w:rsidRDefault="00111F1D" w:rsidP="00111F1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FAA89AA" w14:textId="77777777" w:rsidR="00111F1D" w:rsidRPr="002006F6" w:rsidRDefault="00111F1D" w:rsidP="00111F1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C7024A9" w14:textId="77777777" w:rsidR="00111F1D" w:rsidRPr="002006F6" w:rsidRDefault="00111F1D" w:rsidP="00111F1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53B426E" w14:textId="77777777" w:rsidR="00111F1D" w:rsidRPr="002006F6" w:rsidRDefault="00111F1D" w:rsidP="00111F1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D706A67" w14:textId="77777777" w:rsidR="00111F1D" w:rsidRPr="002006F6" w:rsidRDefault="00111F1D" w:rsidP="00111F1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CAEAF3C" w14:textId="77777777" w:rsidR="00111F1D" w:rsidRPr="002006F6" w:rsidRDefault="00111F1D" w:rsidP="00111F1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4856504" w14:textId="77777777" w:rsidR="00111F1D" w:rsidRPr="002006F6" w:rsidRDefault="00111F1D" w:rsidP="00111F1D">
      <w:pPr>
        <w:jc w:val="both"/>
        <w:rPr>
          <w:rFonts w:ascii="Arial" w:hAnsi="Arial" w:cs="Arial"/>
        </w:rPr>
      </w:pPr>
    </w:p>
    <w:p w14:paraId="6C812A95" w14:textId="77777777" w:rsidR="004D0105" w:rsidRPr="002006F6" w:rsidRDefault="005D112F"/>
    <w:sectPr w:rsidR="004D0105" w:rsidRPr="002006F6" w:rsidSect="00111F1D">
      <w:headerReference w:type="default" r:id="rId8"/>
      <w:headerReference w:type="first" r:id="rId9"/>
      <w:pgSz w:w="12240" w:h="15840"/>
      <w:pgMar w:top="1800" w:right="1440" w:bottom="900" w:left="1260" w:header="1800" w:footer="720" w:gutter="0"/>
      <w:cols w:space="720" w:equalWidth="0">
        <w:col w:w="95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8D6F9" w14:textId="77777777" w:rsidR="00C26AA1" w:rsidRDefault="00C26AA1">
      <w:r>
        <w:separator/>
      </w:r>
    </w:p>
  </w:endnote>
  <w:endnote w:type="continuationSeparator" w:id="0">
    <w:p w14:paraId="60D6F6C3" w14:textId="77777777" w:rsidR="00C26AA1" w:rsidRDefault="00C2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35E26" w14:textId="77777777" w:rsidR="00C26AA1" w:rsidRDefault="00C26AA1">
      <w:r>
        <w:separator/>
      </w:r>
    </w:p>
  </w:footnote>
  <w:footnote w:type="continuationSeparator" w:id="0">
    <w:p w14:paraId="151CF181" w14:textId="77777777" w:rsidR="00C26AA1" w:rsidRDefault="00C2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7241D" w14:textId="77777777" w:rsidR="00E34D45" w:rsidRPr="00EE2606" w:rsidRDefault="00111F1D">
    <w:pPr>
      <w:pStyle w:val="Zhlav"/>
      <w:jc w:val="right"/>
      <w:rPr>
        <w:rFonts w:ascii="Arial" w:hAnsi="Arial" w:cs="Arial"/>
        <w:b/>
        <w:sz w:val="16"/>
      </w:rPr>
    </w:pPr>
    <w:r>
      <w:rPr>
        <w:rFonts w:ascii="Arial" w:hAnsi="Arial"/>
        <w:b/>
        <w:sz w:val="16"/>
      </w:rPr>
      <w:t>Tisková zpráva CBRE</w:t>
    </w:r>
  </w:p>
  <w:p w14:paraId="62C12F85" w14:textId="77777777" w:rsidR="00E34D45" w:rsidRDefault="005D11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5859A" w14:textId="77777777" w:rsidR="00E34D45" w:rsidRPr="006F1F32" w:rsidRDefault="00111F1D">
    <w:pPr>
      <w:pStyle w:val="AddressArea"/>
      <w:ind w:left="552"/>
      <w:jc w:val="right"/>
      <w:rPr>
        <w:rFonts w:ascii="Arial" w:hAnsi="Arial" w:cs="Arial"/>
      </w:rPr>
    </w:pPr>
    <w:r>
      <w:rPr>
        <w:rFonts w:ascii="Arial" w:hAnsi="Arial" w:cs="Arial"/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07F883" wp14:editId="3AD58DBC">
              <wp:simplePos x="0" y="0"/>
              <wp:positionH relativeFrom="column">
                <wp:posOffset>4787265</wp:posOffset>
              </wp:positionH>
              <wp:positionV relativeFrom="paragraph">
                <wp:posOffset>-685800</wp:posOffset>
              </wp:positionV>
              <wp:extent cx="1544955" cy="600075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93D58" w14:textId="77777777" w:rsidR="00E34D45" w:rsidRDefault="00111F1D"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7A6B13F7" wp14:editId="78E9ED41">
                                <wp:extent cx="1265555" cy="318770"/>
                                <wp:effectExtent l="0" t="0" r="0" b="5080"/>
                                <wp:docPr id="3" name="Obrázek 3" descr="2011_CBRE_Logo_Gre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2011_CBRE_Logo_Gre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5555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7F88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376.95pt;margin-top:-54pt;width:121.6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" o:allowincell="f" filled="f" stroked="f">
              <v:textbox>
                <w:txbxContent>
                  <w:p w14:paraId="08893D58" w14:textId="77777777" w:rsidR="00E34D45" w:rsidRDefault="00111F1D"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7A6B13F7" wp14:editId="78E9ED41">
                          <wp:extent cx="1265555" cy="318770"/>
                          <wp:effectExtent l="0" t="0" r="0" b="5080"/>
                          <wp:docPr id="3" name="Obrázek 3" descr="2011_CBRE_Logo_Gre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2011_CBRE_Logo_Gre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5555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AB3E77" wp14:editId="1D88148E">
              <wp:simplePos x="0" y="0"/>
              <wp:positionH relativeFrom="column">
                <wp:posOffset>-228600</wp:posOffset>
              </wp:positionH>
              <wp:positionV relativeFrom="paragraph">
                <wp:posOffset>-104775</wp:posOffset>
              </wp:positionV>
              <wp:extent cx="4800600" cy="5715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25CF3" w14:textId="77777777" w:rsidR="00E34D45" w:rsidRPr="006F1F32" w:rsidRDefault="00111F1D">
                          <w:pPr>
                            <w:ind w:left="180"/>
                            <w:rPr>
                              <w:rFonts w:ascii="Arial" w:hAnsi="Arial" w:cs="Arial"/>
                              <w:spacing w:val="118"/>
                              <w:sz w:val="48"/>
                            </w:rPr>
                          </w:pPr>
                          <w:r>
                            <w:rPr>
                              <w:rFonts w:ascii="Arial" w:hAnsi="Arial"/>
                              <w:spacing w:val="118"/>
                              <w:sz w:val="4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AB3E77" id="Textové pole 2" o:spid="_x0000_s1027" type="#_x0000_t202" style="position:absolute;left:0;text-align:left;margin-left:-18pt;margin-top:-8.25pt;width:37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" o:allowincell="f" filled="f" stroked="f">
              <v:textbox>
                <w:txbxContent>
                  <w:p w14:paraId="51C25CF3" w14:textId="77777777" w:rsidR="00E34D45" w:rsidRPr="006F1F32" w:rsidRDefault="00111F1D">
                    <w:pPr>
                      <w:ind w:left="180"/>
                      <w:rPr>
                        <w:rFonts w:ascii="Arial" w:hAnsi="Arial" w:cs="Arial"/>
                        <w:spacing w:val="118"/>
                        <w:sz w:val="48"/>
                      </w:rPr>
                    </w:pPr>
                    <w:r>
                      <w:rPr>
                        <w:rFonts w:ascii="Arial" w:hAnsi="Arial"/>
                        <w:spacing w:val="118"/>
                        <w:sz w:val="4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w14:paraId="56230DA1" w14:textId="77777777" w:rsidR="00E34D45" w:rsidRPr="006F1F32" w:rsidRDefault="005D112F">
    <w:pPr>
      <w:pStyle w:val="AddressArea"/>
      <w:ind w:left="552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47B1E"/>
    <w:multiLevelType w:val="hybridMultilevel"/>
    <w:tmpl w:val="07A46C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400C18"/>
    <w:multiLevelType w:val="hybridMultilevel"/>
    <w:tmpl w:val="4EC06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C0917"/>
    <w:multiLevelType w:val="hybridMultilevel"/>
    <w:tmpl w:val="F14EF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CE"/>
    <w:rsid w:val="000347D1"/>
    <w:rsid w:val="00045F31"/>
    <w:rsid w:val="00046844"/>
    <w:rsid w:val="0008350A"/>
    <w:rsid w:val="00093FF1"/>
    <w:rsid w:val="000A2486"/>
    <w:rsid w:val="000B48B8"/>
    <w:rsid w:val="000B5566"/>
    <w:rsid w:val="000B6114"/>
    <w:rsid w:val="000D4A65"/>
    <w:rsid w:val="000E56E3"/>
    <w:rsid w:val="000F60D1"/>
    <w:rsid w:val="00111F1D"/>
    <w:rsid w:val="0011406C"/>
    <w:rsid w:val="00142108"/>
    <w:rsid w:val="00160FA5"/>
    <w:rsid w:val="00172F21"/>
    <w:rsid w:val="00180204"/>
    <w:rsid w:val="001861A0"/>
    <w:rsid w:val="001E761B"/>
    <w:rsid w:val="002006F6"/>
    <w:rsid w:val="002107B4"/>
    <w:rsid w:val="002227C6"/>
    <w:rsid w:val="002265F9"/>
    <w:rsid w:val="00232384"/>
    <w:rsid w:val="00242A5F"/>
    <w:rsid w:val="002445E8"/>
    <w:rsid w:val="0024645A"/>
    <w:rsid w:val="00247315"/>
    <w:rsid w:val="00251D21"/>
    <w:rsid w:val="002559F6"/>
    <w:rsid w:val="00263704"/>
    <w:rsid w:val="0029159D"/>
    <w:rsid w:val="00294CFD"/>
    <w:rsid w:val="00294E5C"/>
    <w:rsid w:val="00294F12"/>
    <w:rsid w:val="002A6147"/>
    <w:rsid w:val="002C1892"/>
    <w:rsid w:val="002C5416"/>
    <w:rsid w:val="00304CBE"/>
    <w:rsid w:val="00315A4F"/>
    <w:rsid w:val="00316744"/>
    <w:rsid w:val="0032358B"/>
    <w:rsid w:val="003546E3"/>
    <w:rsid w:val="003A0E15"/>
    <w:rsid w:val="003D3ABB"/>
    <w:rsid w:val="003E2B16"/>
    <w:rsid w:val="00422A1E"/>
    <w:rsid w:val="00442816"/>
    <w:rsid w:val="004500EE"/>
    <w:rsid w:val="00480430"/>
    <w:rsid w:val="00486A91"/>
    <w:rsid w:val="004B122F"/>
    <w:rsid w:val="004D6949"/>
    <w:rsid w:val="00532D6F"/>
    <w:rsid w:val="00553AE4"/>
    <w:rsid w:val="00562599"/>
    <w:rsid w:val="005636BE"/>
    <w:rsid w:val="0056642A"/>
    <w:rsid w:val="00570D19"/>
    <w:rsid w:val="00582A72"/>
    <w:rsid w:val="00586EC8"/>
    <w:rsid w:val="00593A22"/>
    <w:rsid w:val="005B16E7"/>
    <w:rsid w:val="005C077A"/>
    <w:rsid w:val="005C72EC"/>
    <w:rsid w:val="005D112F"/>
    <w:rsid w:val="00606234"/>
    <w:rsid w:val="00616E83"/>
    <w:rsid w:val="00622F73"/>
    <w:rsid w:val="0065229A"/>
    <w:rsid w:val="00661F16"/>
    <w:rsid w:val="0067615A"/>
    <w:rsid w:val="006857C4"/>
    <w:rsid w:val="006B3CF0"/>
    <w:rsid w:val="006D6FE2"/>
    <w:rsid w:val="006F5EA7"/>
    <w:rsid w:val="007039A2"/>
    <w:rsid w:val="00713EFA"/>
    <w:rsid w:val="007318E5"/>
    <w:rsid w:val="00733412"/>
    <w:rsid w:val="007609EB"/>
    <w:rsid w:val="00777F9D"/>
    <w:rsid w:val="00782FA3"/>
    <w:rsid w:val="0079771F"/>
    <w:rsid w:val="007A4998"/>
    <w:rsid w:val="007B229C"/>
    <w:rsid w:val="007B30BC"/>
    <w:rsid w:val="007B6D09"/>
    <w:rsid w:val="007C29AB"/>
    <w:rsid w:val="00820F25"/>
    <w:rsid w:val="00827101"/>
    <w:rsid w:val="00842273"/>
    <w:rsid w:val="00845D66"/>
    <w:rsid w:val="008B01BF"/>
    <w:rsid w:val="008D3329"/>
    <w:rsid w:val="008E5F5D"/>
    <w:rsid w:val="00916647"/>
    <w:rsid w:val="0092243E"/>
    <w:rsid w:val="00932F1C"/>
    <w:rsid w:val="009355C5"/>
    <w:rsid w:val="009564A6"/>
    <w:rsid w:val="009579EB"/>
    <w:rsid w:val="009666B0"/>
    <w:rsid w:val="0099041E"/>
    <w:rsid w:val="00996C74"/>
    <w:rsid w:val="009A43CA"/>
    <w:rsid w:val="009B07ED"/>
    <w:rsid w:val="009B1704"/>
    <w:rsid w:val="009C7303"/>
    <w:rsid w:val="009E7C97"/>
    <w:rsid w:val="009F2C97"/>
    <w:rsid w:val="00A07A1C"/>
    <w:rsid w:val="00A11D55"/>
    <w:rsid w:val="00A1784D"/>
    <w:rsid w:val="00A35B3A"/>
    <w:rsid w:val="00A6502B"/>
    <w:rsid w:val="00A774E4"/>
    <w:rsid w:val="00A821E8"/>
    <w:rsid w:val="00A8333B"/>
    <w:rsid w:val="00AA2083"/>
    <w:rsid w:val="00AB7031"/>
    <w:rsid w:val="00AC0DAE"/>
    <w:rsid w:val="00AD0807"/>
    <w:rsid w:val="00AE7B88"/>
    <w:rsid w:val="00B44BDB"/>
    <w:rsid w:val="00B53E7D"/>
    <w:rsid w:val="00B6326C"/>
    <w:rsid w:val="00B813D5"/>
    <w:rsid w:val="00B8155B"/>
    <w:rsid w:val="00B9571F"/>
    <w:rsid w:val="00BA0CBB"/>
    <w:rsid w:val="00BA2AF9"/>
    <w:rsid w:val="00BA3D23"/>
    <w:rsid w:val="00BB5891"/>
    <w:rsid w:val="00BC58A8"/>
    <w:rsid w:val="00BC643C"/>
    <w:rsid w:val="00BF26A1"/>
    <w:rsid w:val="00BF554C"/>
    <w:rsid w:val="00C11A6F"/>
    <w:rsid w:val="00C179B9"/>
    <w:rsid w:val="00C26AA1"/>
    <w:rsid w:val="00C33274"/>
    <w:rsid w:val="00C35C0B"/>
    <w:rsid w:val="00C54953"/>
    <w:rsid w:val="00C55BCB"/>
    <w:rsid w:val="00C65ED4"/>
    <w:rsid w:val="00C665D3"/>
    <w:rsid w:val="00C670FE"/>
    <w:rsid w:val="00C75E1A"/>
    <w:rsid w:val="00C843CE"/>
    <w:rsid w:val="00C86D6E"/>
    <w:rsid w:val="00C921C0"/>
    <w:rsid w:val="00C95D8C"/>
    <w:rsid w:val="00CA0CE7"/>
    <w:rsid w:val="00CA20F0"/>
    <w:rsid w:val="00CB488A"/>
    <w:rsid w:val="00CB546B"/>
    <w:rsid w:val="00CE4D57"/>
    <w:rsid w:val="00CF2D28"/>
    <w:rsid w:val="00D02C0A"/>
    <w:rsid w:val="00D34ADB"/>
    <w:rsid w:val="00D4398B"/>
    <w:rsid w:val="00D44664"/>
    <w:rsid w:val="00D64CDF"/>
    <w:rsid w:val="00D96792"/>
    <w:rsid w:val="00DA16EF"/>
    <w:rsid w:val="00DC7503"/>
    <w:rsid w:val="00DD477E"/>
    <w:rsid w:val="00DD5886"/>
    <w:rsid w:val="00DE1D83"/>
    <w:rsid w:val="00E0202E"/>
    <w:rsid w:val="00E046D4"/>
    <w:rsid w:val="00E31778"/>
    <w:rsid w:val="00E717AA"/>
    <w:rsid w:val="00E71E12"/>
    <w:rsid w:val="00E73E02"/>
    <w:rsid w:val="00E77512"/>
    <w:rsid w:val="00E807F0"/>
    <w:rsid w:val="00E85D49"/>
    <w:rsid w:val="00E96C0C"/>
    <w:rsid w:val="00EA76F8"/>
    <w:rsid w:val="00EB4B3C"/>
    <w:rsid w:val="00EB5104"/>
    <w:rsid w:val="00ED49CE"/>
    <w:rsid w:val="00EE0CC6"/>
    <w:rsid w:val="00EE40C7"/>
    <w:rsid w:val="00F02609"/>
    <w:rsid w:val="00F16EEE"/>
    <w:rsid w:val="00F25143"/>
    <w:rsid w:val="00F54F3E"/>
    <w:rsid w:val="00F61B0B"/>
    <w:rsid w:val="00F658D8"/>
    <w:rsid w:val="00F713E3"/>
    <w:rsid w:val="00F813B3"/>
    <w:rsid w:val="00F83D41"/>
    <w:rsid w:val="00FB160F"/>
    <w:rsid w:val="00FB386B"/>
    <w:rsid w:val="00FD565C"/>
    <w:rsid w:val="00F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CE07F4"/>
  <w15:docId w15:val="{B0F95822-B605-4E07-ACDF-22F1AF45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1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link w:val="Nadpis3Char"/>
    <w:qFormat/>
    <w:rsid w:val="00111F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11F1D"/>
    <w:rPr>
      <w:rFonts w:ascii="Arial" w:eastAsia="Times New Roman" w:hAnsi="Arial" w:cs="Arial"/>
      <w:b/>
      <w:bCs/>
      <w:sz w:val="26"/>
      <w:szCs w:val="26"/>
      <w:lang w:val="cs-CZ"/>
    </w:rPr>
  </w:style>
  <w:style w:type="paragraph" w:styleId="Zhlav">
    <w:name w:val="header"/>
    <w:basedOn w:val="Normln"/>
    <w:link w:val="ZhlavChar"/>
    <w:rsid w:val="00111F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rsid w:val="00111F1D"/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AddressArea">
    <w:name w:val="Address Area"/>
    <w:basedOn w:val="Normln"/>
    <w:rsid w:val="00111F1D"/>
    <w:pPr>
      <w:spacing w:line="200" w:lineRule="exact"/>
      <w:ind w:left="612"/>
    </w:pPr>
    <w:rPr>
      <w:rFonts w:ascii="Futura Bk BT" w:hAnsi="Futura Bk BT"/>
      <w:color w:val="000000"/>
      <w:spacing w:val="10"/>
      <w:sz w:val="16"/>
      <w:szCs w:val="20"/>
    </w:rPr>
  </w:style>
  <w:style w:type="paragraph" w:customStyle="1" w:styleId="MainText">
    <w:name w:val="Main Text"/>
    <w:basedOn w:val="Normln"/>
    <w:rsid w:val="00111F1D"/>
    <w:pPr>
      <w:spacing w:line="300" w:lineRule="exact"/>
      <w:ind w:left="120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F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F1D"/>
    <w:rPr>
      <w:rFonts w:ascii="Tahoma" w:eastAsia="Times New Roman" w:hAnsi="Tahoma" w:cs="Tahoma"/>
      <w:sz w:val="16"/>
      <w:szCs w:val="16"/>
      <w:lang w:val="cs-CZ"/>
    </w:rPr>
  </w:style>
  <w:style w:type="character" w:styleId="Hypertextovodkaz">
    <w:name w:val="Hyperlink"/>
    <w:rsid w:val="00BC643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C643C"/>
    <w:pPr>
      <w:ind w:left="720"/>
    </w:pPr>
    <w:rPr>
      <w:rFonts w:ascii="Calibri" w:eastAsia="Calibri" w:hAnsi="Calibri"/>
      <w:sz w:val="22"/>
      <w:szCs w:val="22"/>
      <w:lang w:bidi="ar-SA"/>
    </w:rPr>
  </w:style>
  <w:style w:type="character" w:styleId="Odkaznakoment">
    <w:name w:val="annotation reference"/>
    <w:basedOn w:val="Standardnpsmoodstavce"/>
    <w:uiPriority w:val="99"/>
    <w:rsid w:val="004428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3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3CE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3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3C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ln"/>
    <w:uiPriority w:val="34"/>
    <w:qFormat/>
    <w:rsid w:val="001140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Mkatabulky">
    <w:name w:val="Table Grid"/>
    <w:basedOn w:val="Normlntabulka"/>
    <w:rsid w:val="00AB7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8624-781C-431C-BBC0-DAE853F2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3404</Characters>
  <Application>Microsoft Office Word</Application>
  <DocSecurity>4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 Richard Ellis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Modrinka</dc:creator>
  <cp:lastModifiedBy>Kopačková Dagmar - TZB-info</cp:lastModifiedBy>
  <cp:revision>2</cp:revision>
  <dcterms:created xsi:type="dcterms:W3CDTF">2017-01-03T13:13:00Z</dcterms:created>
  <dcterms:modified xsi:type="dcterms:W3CDTF">2017-01-03T13:13:00Z</dcterms:modified>
</cp:coreProperties>
</file>