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3FB" w:rsidRDefault="000C5201" w:rsidP="000419D3">
      <w:pPr>
        <w:ind w:left="4944" w:firstLine="720"/>
        <w:jc w:val="right"/>
        <w:rPr>
          <w:rFonts w:ascii="Arial" w:hAnsi="Arial"/>
          <w:b/>
          <w:sz w:val="24"/>
          <w:lang w:val="cs-CZ"/>
        </w:rPr>
      </w:pPr>
      <w:bookmarkStart w:id="0" w:name="_GoBack"/>
      <w:bookmarkEnd w:id="0"/>
      <w:r>
        <w:rPr>
          <w:rFonts w:ascii="Arial" w:hAnsi="Arial"/>
          <w:b/>
          <w:noProof/>
          <w:sz w:val="24"/>
          <w:lang w:val="cs-CZ" w:eastAsia="cs-CZ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4363720</wp:posOffset>
            </wp:positionH>
            <wp:positionV relativeFrom="paragraph">
              <wp:posOffset>-60325</wp:posOffset>
            </wp:positionV>
            <wp:extent cx="2228850" cy="1267460"/>
            <wp:effectExtent l="0" t="0" r="0" b="8890"/>
            <wp:wrapSquare wrapText="bothSides"/>
            <wp:docPr id="6" name="Picture 6" descr="RR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R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267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165E3">
        <w:rPr>
          <w:rFonts w:ascii="Arial" w:hAnsi="Arial"/>
          <w:b/>
          <w:sz w:val="24"/>
          <w:lang w:val="cs-CZ"/>
        </w:rPr>
        <w:t xml:space="preserve"> </w:t>
      </w:r>
    </w:p>
    <w:p w:rsidR="00AC6952" w:rsidRDefault="00AC6952" w:rsidP="007733FB">
      <w:pPr>
        <w:rPr>
          <w:rFonts w:ascii="Arial" w:hAnsi="Arial" w:cs="Arial"/>
          <w:b/>
          <w:noProof/>
          <w:sz w:val="24"/>
          <w:szCs w:val="24"/>
          <w:lang w:val="cs-CZ"/>
        </w:rPr>
      </w:pPr>
    </w:p>
    <w:p w:rsidR="00AC6952" w:rsidRDefault="00AC6952" w:rsidP="007733FB">
      <w:pPr>
        <w:rPr>
          <w:rFonts w:ascii="Arial" w:hAnsi="Arial" w:cs="Arial"/>
          <w:b/>
          <w:noProof/>
          <w:sz w:val="24"/>
          <w:szCs w:val="24"/>
          <w:lang w:val="cs-CZ"/>
        </w:rPr>
      </w:pPr>
    </w:p>
    <w:p w:rsidR="00AC6952" w:rsidRDefault="00AC6952" w:rsidP="007733FB">
      <w:pPr>
        <w:rPr>
          <w:rFonts w:ascii="Arial" w:hAnsi="Arial" w:cs="Arial"/>
          <w:b/>
          <w:noProof/>
          <w:sz w:val="24"/>
          <w:szCs w:val="24"/>
          <w:lang w:val="cs-CZ"/>
        </w:rPr>
      </w:pPr>
    </w:p>
    <w:p w:rsidR="00AC6952" w:rsidRDefault="00AC6952" w:rsidP="007733FB">
      <w:pPr>
        <w:rPr>
          <w:rFonts w:ascii="Arial" w:hAnsi="Arial" w:cs="Arial"/>
          <w:b/>
          <w:noProof/>
          <w:sz w:val="24"/>
          <w:szCs w:val="24"/>
          <w:lang w:val="cs-CZ"/>
        </w:rPr>
      </w:pPr>
    </w:p>
    <w:p w:rsidR="00AC6952" w:rsidRDefault="00AC6952" w:rsidP="007733FB">
      <w:pPr>
        <w:rPr>
          <w:rFonts w:ascii="Arial" w:hAnsi="Arial" w:cs="Arial"/>
          <w:b/>
          <w:noProof/>
          <w:sz w:val="24"/>
          <w:szCs w:val="24"/>
          <w:lang w:val="cs-CZ"/>
        </w:rPr>
      </w:pPr>
    </w:p>
    <w:p w:rsidR="00AC6952" w:rsidRDefault="00AC6952" w:rsidP="007733FB">
      <w:pPr>
        <w:rPr>
          <w:rFonts w:ascii="Arial" w:hAnsi="Arial" w:cs="Arial"/>
          <w:b/>
          <w:noProof/>
          <w:sz w:val="24"/>
          <w:szCs w:val="24"/>
          <w:lang w:val="cs-CZ"/>
        </w:rPr>
      </w:pPr>
    </w:p>
    <w:p w:rsidR="007733FB" w:rsidRDefault="007733FB" w:rsidP="007733FB">
      <w:pPr>
        <w:rPr>
          <w:rFonts w:ascii="Arial" w:hAnsi="Arial" w:cs="Arial"/>
          <w:b/>
          <w:noProof/>
          <w:sz w:val="24"/>
          <w:szCs w:val="24"/>
          <w:lang w:val="cs-CZ"/>
        </w:rPr>
      </w:pPr>
      <w:r>
        <w:rPr>
          <w:rFonts w:ascii="Arial" w:hAnsi="Arial" w:cs="Arial"/>
          <w:b/>
          <w:noProof/>
          <w:sz w:val="24"/>
          <w:szCs w:val="24"/>
          <w:lang w:val="cs-CZ"/>
        </w:rPr>
        <w:t>Press Release</w:t>
      </w: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10348"/>
      </w:tblGrid>
      <w:tr w:rsidR="00AC6952" w:rsidTr="00AC6952">
        <w:trPr>
          <w:trHeight w:val="1050"/>
        </w:trPr>
        <w:tc>
          <w:tcPr>
            <w:tcW w:w="10348" w:type="dxa"/>
          </w:tcPr>
          <w:p w:rsidR="00AC6952" w:rsidRPr="00AC6952" w:rsidRDefault="00AC6952" w:rsidP="00AC6952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C6952">
              <w:rPr>
                <w:rFonts w:ascii="Arial" w:hAnsi="Arial" w:cs="Arial"/>
                <w:sz w:val="18"/>
                <w:szCs w:val="18"/>
                <w:lang w:val="en-US"/>
              </w:rPr>
              <w:t>CBRE: +420 224 814 060</w:t>
            </w:r>
          </w:p>
          <w:p w:rsidR="00AC6952" w:rsidRPr="00AC6952" w:rsidRDefault="00AC6952" w:rsidP="00622D01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C6952">
              <w:rPr>
                <w:rFonts w:ascii="Arial" w:hAnsi="Arial" w:cs="Arial"/>
                <w:sz w:val="18"/>
                <w:szCs w:val="18"/>
                <w:lang w:val="en-US"/>
              </w:rPr>
              <w:t xml:space="preserve">Colliers International: +420 226 537 618         </w:t>
            </w:r>
          </w:p>
          <w:p w:rsidR="00AC6952" w:rsidRPr="00AC6952" w:rsidRDefault="00AC6952" w:rsidP="00AC6952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C6952">
              <w:rPr>
                <w:rFonts w:ascii="Arial" w:hAnsi="Arial" w:cs="Arial"/>
                <w:sz w:val="18"/>
                <w:szCs w:val="18"/>
                <w:lang w:val="en-US"/>
              </w:rPr>
              <w:t>Cushman &amp; Wakefield: +420 234 603 603</w:t>
            </w:r>
          </w:p>
          <w:p w:rsidR="00AC6952" w:rsidRPr="00AC6952" w:rsidRDefault="00AC6952" w:rsidP="00AC6952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C6952">
              <w:rPr>
                <w:rFonts w:ascii="Arial" w:hAnsi="Arial" w:cs="Arial"/>
                <w:sz w:val="18"/>
                <w:szCs w:val="18"/>
                <w:lang w:val="en-US"/>
              </w:rPr>
              <w:t>DTZ: +420 226 209 100</w:t>
            </w:r>
          </w:p>
          <w:p w:rsidR="00AC6952" w:rsidRPr="00AC6952" w:rsidRDefault="00AC6952" w:rsidP="00AC6952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C6952">
              <w:rPr>
                <w:rFonts w:ascii="Arial" w:hAnsi="Arial" w:cs="Arial"/>
                <w:sz w:val="18"/>
                <w:szCs w:val="18"/>
                <w:lang w:val="en-US"/>
              </w:rPr>
              <w:t>Jones Lang LaSalle: +420 224 234 809</w:t>
            </w:r>
          </w:p>
        </w:tc>
      </w:tr>
    </w:tbl>
    <w:p w:rsidR="007733FB" w:rsidRPr="003B70F5" w:rsidRDefault="007733FB" w:rsidP="007733FB">
      <w:pPr>
        <w:jc w:val="both"/>
        <w:rPr>
          <w:rFonts w:ascii="Arial" w:hAnsi="Arial" w:cs="Arial"/>
          <w:noProof/>
          <w:sz w:val="10"/>
          <w:szCs w:val="10"/>
          <w:lang w:val="en-US"/>
        </w:rPr>
      </w:pPr>
    </w:p>
    <w:p w:rsidR="00AC6952" w:rsidRDefault="00AC6952" w:rsidP="00C2496B">
      <w:pPr>
        <w:jc w:val="both"/>
        <w:rPr>
          <w:rFonts w:ascii="Arial" w:hAnsi="Arial" w:cs="Arial"/>
          <w:noProof/>
          <w:lang w:val="en-US"/>
        </w:rPr>
      </w:pPr>
    </w:p>
    <w:p w:rsidR="007733FB" w:rsidRDefault="000D6CC3" w:rsidP="00D44DEC">
      <w:pPr>
        <w:jc w:val="both"/>
        <w:rPr>
          <w:rFonts w:ascii="Arial" w:hAnsi="Arial" w:cs="Arial"/>
          <w:noProof/>
          <w:lang w:val="en-US"/>
        </w:rPr>
      </w:pPr>
      <w:r>
        <w:rPr>
          <w:rFonts w:ascii="Arial" w:hAnsi="Arial" w:cs="Arial"/>
          <w:noProof/>
          <w:lang w:val="en-US"/>
        </w:rPr>
        <w:t xml:space="preserve">Prague, </w:t>
      </w:r>
      <w:r w:rsidR="00131BF3">
        <w:rPr>
          <w:rFonts w:ascii="Arial" w:hAnsi="Arial" w:cs="Arial"/>
          <w:noProof/>
          <w:lang w:val="en-US"/>
        </w:rPr>
        <w:t>August</w:t>
      </w:r>
      <w:r w:rsidR="005D2C2A">
        <w:rPr>
          <w:rFonts w:ascii="Arial" w:hAnsi="Arial" w:cs="Arial"/>
          <w:noProof/>
          <w:lang w:val="en-US"/>
        </w:rPr>
        <w:t xml:space="preserve"> </w:t>
      </w:r>
      <w:r w:rsidR="00131BF3">
        <w:rPr>
          <w:rFonts w:ascii="Arial" w:hAnsi="Arial" w:cs="Arial"/>
          <w:noProof/>
          <w:lang w:val="en-US"/>
        </w:rPr>
        <w:t>5</w:t>
      </w:r>
      <w:r w:rsidR="00F06D46">
        <w:rPr>
          <w:rFonts w:ascii="Arial" w:hAnsi="Arial" w:cs="Arial"/>
          <w:noProof/>
          <w:lang w:val="en-US"/>
        </w:rPr>
        <w:t>,</w:t>
      </w:r>
      <w:r w:rsidR="00C2496B">
        <w:rPr>
          <w:rFonts w:ascii="Arial" w:hAnsi="Arial" w:cs="Arial"/>
          <w:noProof/>
          <w:lang w:val="en-US"/>
        </w:rPr>
        <w:t xml:space="preserve"> 201</w:t>
      </w:r>
      <w:r w:rsidR="00337CED">
        <w:rPr>
          <w:rFonts w:ascii="Arial" w:hAnsi="Arial" w:cs="Arial"/>
          <w:noProof/>
          <w:lang w:val="en-US"/>
        </w:rPr>
        <w:t>4</w:t>
      </w:r>
      <w:r w:rsidR="004F273C">
        <w:rPr>
          <w:rFonts w:ascii="Arial" w:hAnsi="Arial" w:cs="Arial"/>
          <w:noProof/>
          <w:lang w:val="en-US"/>
        </w:rPr>
        <w:t xml:space="preserve"> </w:t>
      </w:r>
    </w:p>
    <w:p w:rsidR="00A65D01" w:rsidRDefault="00A65D01" w:rsidP="00710C2A">
      <w:pPr>
        <w:jc w:val="both"/>
        <w:outlineLvl w:val="0"/>
        <w:rPr>
          <w:rFonts w:ascii="Arial" w:hAnsi="Arial" w:cs="Arial"/>
          <w:b/>
          <w:lang w:val="en-US"/>
        </w:rPr>
      </w:pPr>
    </w:p>
    <w:p w:rsidR="00365F51" w:rsidRDefault="00365F51" w:rsidP="00710C2A">
      <w:pPr>
        <w:jc w:val="both"/>
        <w:outlineLvl w:val="0"/>
        <w:rPr>
          <w:rFonts w:ascii="Arial" w:hAnsi="Arial" w:cs="Arial"/>
          <w:b/>
          <w:lang w:val="en-US"/>
        </w:rPr>
      </w:pPr>
    </w:p>
    <w:p w:rsidR="007733FB" w:rsidRPr="006C65D7" w:rsidRDefault="00302DC7" w:rsidP="003F2740">
      <w:pPr>
        <w:jc w:val="both"/>
        <w:outlineLvl w:val="0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Regional</w:t>
      </w:r>
      <w:r w:rsidR="007733FB" w:rsidRPr="006C65D7">
        <w:rPr>
          <w:rFonts w:ascii="Arial" w:hAnsi="Arial" w:cs="Arial"/>
          <w:b/>
          <w:lang w:val="en-US"/>
        </w:rPr>
        <w:t xml:space="preserve"> Research Forum </w:t>
      </w:r>
      <w:r w:rsidR="00EF3E19">
        <w:rPr>
          <w:rFonts w:ascii="Arial" w:hAnsi="Arial" w:cs="Arial"/>
          <w:b/>
          <w:lang w:val="en-US"/>
        </w:rPr>
        <w:t>P</w:t>
      </w:r>
      <w:r w:rsidR="00A65D01">
        <w:rPr>
          <w:rFonts w:ascii="Arial" w:hAnsi="Arial" w:cs="Arial"/>
          <w:b/>
          <w:lang w:val="en-US"/>
        </w:rPr>
        <w:t xml:space="preserve">resents </w:t>
      </w:r>
      <w:r w:rsidR="005D2C2A">
        <w:rPr>
          <w:rFonts w:ascii="Arial" w:hAnsi="Arial" w:cs="Arial"/>
          <w:b/>
          <w:lang w:val="en-US"/>
        </w:rPr>
        <w:t>H</w:t>
      </w:r>
      <w:r w:rsidR="00131BF3">
        <w:rPr>
          <w:rFonts w:ascii="Arial" w:hAnsi="Arial" w:cs="Arial"/>
          <w:b/>
          <w:lang w:val="en-US"/>
        </w:rPr>
        <w:t>1</w:t>
      </w:r>
      <w:r w:rsidR="005D2C2A">
        <w:rPr>
          <w:rFonts w:ascii="Arial" w:hAnsi="Arial" w:cs="Arial"/>
          <w:b/>
          <w:lang w:val="en-US"/>
        </w:rPr>
        <w:t xml:space="preserve"> </w:t>
      </w:r>
      <w:r w:rsidR="004F273C">
        <w:rPr>
          <w:rFonts w:ascii="Arial" w:hAnsi="Arial" w:cs="Arial"/>
          <w:b/>
          <w:lang w:val="en-US"/>
        </w:rPr>
        <w:t>2</w:t>
      </w:r>
      <w:r w:rsidR="0015291A">
        <w:rPr>
          <w:rFonts w:ascii="Arial" w:hAnsi="Arial" w:cs="Arial"/>
          <w:b/>
          <w:lang w:val="en-US"/>
        </w:rPr>
        <w:t>01</w:t>
      </w:r>
      <w:r w:rsidR="00131BF3">
        <w:rPr>
          <w:rFonts w:ascii="Arial" w:hAnsi="Arial" w:cs="Arial"/>
          <w:b/>
          <w:lang w:val="en-US"/>
        </w:rPr>
        <w:t>4</w:t>
      </w:r>
      <w:r w:rsidR="00A65D01">
        <w:rPr>
          <w:rFonts w:ascii="Arial" w:hAnsi="Arial" w:cs="Arial"/>
          <w:b/>
          <w:lang w:val="en-US"/>
        </w:rPr>
        <w:t xml:space="preserve"> Brno </w:t>
      </w:r>
      <w:r w:rsidR="00C2496B">
        <w:rPr>
          <w:rFonts w:ascii="Arial" w:hAnsi="Arial" w:cs="Arial"/>
          <w:b/>
          <w:lang w:val="en-US"/>
        </w:rPr>
        <w:t xml:space="preserve">and Ostrava </w:t>
      </w:r>
      <w:r w:rsidR="00A65D01">
        <w:rPr>
          <w:rFonts w:ascii="Arial" w:hAnsi="Arial" w:cs="Arial"/>
          <w:b/>
          <w:lang w:val="en-US"/>
        </w:rPr>
        <w:t>Office Market Data</w:t>
      </w:r>
    </w:p>
    <w:p w:rsidR="007733FB" w:rsidRDefault="007733FB" w:rsidP="007733FB">
      <w:pPr>
        <w:pStyle w:val="Zhlav"/>
        <w:rPr>
          <w:rFonts w:ascii="Arial" w:hAnsi="Arial" w:cs="Arial"/>
          <w:sz w:val="18"/>
          <w:szCs w:val="18"/>
          <w:lang w:val="en-US"/>
        </w:rPr>
      </w:pPr>
    </w:p>
    <w:p w:rsidR="00B90303" w:rsidRDefault="00B90303" w:rsidP="007733FB">
      <w:pPr>
        <w:jc w:val="both"/>
        <w:outlineLvl w:val="0"/>
        <w:rPr>
          <w:rFonts w:ascii="Arial" w:hAnsi="Arial" w:cs="Arial"/>
          <w:b/>
          <w:lang w:val="en-US"/>
        </w:rPr>
      </w:pPr>
    </w:p>
    <w:p w:rsidR="007733FB" w:rsidRDefault="007733FB" w:rsidP="007733FB">
      <w:pPr>
        <w:jc w:val="both"/>
        <w:outlineLvl w:val="0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Introduction</w:t>
      </w:r>
    </w:p>
    <w:p w:rsidR="007733FB" w:rsidRDefault="007733FB" w:rsidP="007733FB">
      <w:pPr>
        <w:jc w:val="both"/>
        <w:rPr>
          <w:rFonts w:ascii="Arial" w:hAnsi="Arial" w:cs="Arial"/>
          <w:lang w:val="en-US"/>
        </w:rPr>
      </w:pPr>
    </w:p>
    <w:p w:rsidR="00ED727F" w:rsidRDefault="007733FB" w:rsidP="00B85898">
      <w:pPr>
        <w:jc w:val="both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 xml:space="preserve">The </w:t>
      </w:r>
      <w:r w:rsidR="00DE7793">
        <w:rPr>
          <w:rFonts w:ascii="Arial" w:hAnsi="Arial" w:cs="Arial"/>
          <w:sz w:val="18"/>
          <w:szCs w:val="18"/>
          <w:lang w:val="en-US"/>
        </w:rPr>
        <w:t xml:space="preserve">members of </w:t>
      </w:r>
      <w:r w:rsidR="00302DC7">
        <w:rPr>
          <w:rFonts w:ascii="Arial" w:hAnsi="Arial" w:cs="Arial"/>
          <w:sz w:val="18"/>
          <w:szCs w:val="18"/>
          <w:lang w:val="en-US"/>
        </w:rPr>
        <w:t>Regional Re</w:t>
      </w:r>
      <w:r>
        <w:rPr>
          <w:rFonts w:ascii="Arial" w:hAnsi="Arial" w:cs="Arial"/>
          <w:sz w:val="18"/>
          <w:szCs w:val="18"/>
          <w:lang w:val="en-US"/>
        </w:rPr>
        <w:t xml:space="preserve">search Forum </w:t>
      </w:r>
      <w:r w:rsidR="00DE7793">
        <w:rPr>
          <w:rFonts w:ascii="Arial" w:hAnsi="Arial" w:cs="Arial"/>
          <w:sz w:val="18"/>
          <w:szCs w:val="18"/>
          <w:lang w:val="en-US"/>
        </w:rPr>
        <w:t>– CBRE, Colliers Internat</w:t>
      </w:r>
      <w:r w:rsidR="00E2027F">
        <w:rPr>
          <w:rFonts w:ascii="Arial" w:hAnsi="Arial" w:cs="Arial"/>
          <w:sz w:val="18"/>
          <w:szCs w:val="18"/>
          <w:lang w:val="en-US"/>
        </w:rPr>
        <w:t>ional, Cushman &amp; Wakefield, DTZ and</w:t>
      </w:r>
      <w:r w:rsidR="00131BF3">
        <w:rPr>
          <w:rFonts w:ascii="Arial" w:hAnsi="Arial" w:cs="Arial"/>
          <w:sz w:val="18"/>
          <w:szCs w:val="18"/>
          <w:lang w:val="en-US"/>
        </w:rPr>
        <w:t xml:space="preserve"> JLL</w:t>
      </w:r>
      <w:r w:rsidR="00DE7793">
        <w:rPr>
          <w:rFonts w:ascii="Arial" w:hAnsi="Arial" w:cs="Arial"/>
          <w:sz w:val="18"/>
          <w:szCs w:val="18"/>
          <w:lang w:val="en-US"/>
        </w:rPr>
        <w:t xml:space="preserve"> – </w:t>
      </w:r>
      <w:r w:rsidR="00874FA4">
        <w:rPr>
          <w:rFonts w:ascii="Arial" w:hAnsi="Arial" w:cs="Arial"/>
          <w:sz w:val="18"/>
          <w:szCs w:val="18"/>
          <w:lang w:val="en-US"/>
        </w:rPr>
        <w:t xml:space="preserve">aim to provide clients with consistent, accurate and transparent data about the </w:t>
      </w:r>
      <w:r w:rsidR="00BD5979">
        <w:rPr>
          <w:rFonts w:ascii="Arial" w:hAnsi="Arial" w:cs="Arial"/>
          <w:sz w:val="18"/>
          <w:szCs w:val="18"/>
          <w:lang w:val="en-US"/>
        </w:rPr>
        <w:t xml:space="preserve">regional office markets in the </w:t>
      </w:r>
      <w:r w:rsidR="00874FA4">
        <w:rPr>
          <w:rFonts w:ascii="Arial" w:hAnsi="Arial" w:cs="Arial"/>
          <w:sz w:val="18"/>
          <w:szCs w:val="18"/>
          <w:lang w:val="en-US"/>
        </w:rPr>
        <w:t>Czech Republic</w:t>
      </w:r>
      <w:r w:rsidR="00BD5979">
        <w:rPr>
          <w:rFonts w:ascii="Arial" w:hAnsi="Arial" w:cs="Arial"/>
          <w:sz w:val="18"/>
          <w:szCs w:val="18"/>
          <w:lang w:val="en-US"/>
        </w:rPr>
        <w:t>.</w:t>
      </w:r>
      <w:r w:rsidR="00236E04">
        <w:rPr>
          <w:rFonts w:ascii="Arial" w:hAnsi="Arial" w:cs="Arial"/>
          <w:sz w:val="18"/>
          <w:szCs w:val="18"/>
          <w:lang w:val="en-US"/>
        </w:rPr>
        <w:t xml:space="preserve"> </w:t>
      </w:r>
      <w:r w:rsidR="00874FA4">
        <w:rPr>
          <w:rFonts w:ascii="Arial" w:hAnsi="Arial" w:cs="Arial"/>
          <w:sz w:val="18"/>
          <w:szCs w:val="18"/>
          <w:lang w:val="en-US"/>
        </w:rPr>
        <w:t>The members share non-sensitive information a</w:t>
      </w:r>
      <w:r w:rsidR="00B16A4D">
        <w:rPr>
          <w:rFonts w:ascii="Arial" w:hAnsi="Arial" w:cs="Arial"/>
          <w:sz w:val="18"/>
          <w:szCs w:val="18"/>
          <w:lang w:val="en-US"/>
        </w:rPr>
        <w:t xml:space="preserve">nd believe </w:t>
      </w:r>
      <w:r w:rsidR="008B1275">
        <w:rPr>
          <w:rFonts w:ascii="Arial" w:hAnsi="Arial" w:cs="Arial"/>
          <w:sz w:val="18"/>
          <w:szCs w:val="18"/>
          <w:lang w:val="en-US"/>
        </w:rPr>
        <w:t xml:space="preserve">that </w:t>
      </w:r>
      <w:r w:rsidR="00B16A4D">
        <w:rPr>
          <w:rFonts w:ascii="Arial" w:hAnsi="Arial" w:cs="Arial"/>
          <w:sz w:val="18"/>
          <w:szCs w:val="18"/>
          <w:lang w:val="en-US"/>
        </w:rPr>
        <w:t>the</w:t>
      </w:r>
      <w:r w:rsidR="00EC4973">
        <w:rPr>
          <w:rFonts w:ascii="Arial" w:hAnsi="Arial" w:cs="Arial"/>
          <w:sz w:val="18"/>
          <w:szCs w:val="18"/>
          <w:lang w:val="en-US"/>
        </w:rPr>
        <w:t xml:space="preserve"> </w:t>
      </w:r>
      <w:r w:rsidR="00BD5979">
        <w:rPr>
          <w:rFonts w:ascii="Arial" w:hAnsi="Arial" w:cs="Arial"/>
          <w:sz w:val="18"/>
          <w:szCs w:val="18"/>
          <w:lang w:val="en-US"/>
        </w:rPr>
        <w:t>Regional</w:t>
      </w:r>
      <w:r w:rsidR="00874FA4">
        <w:rPr>
          <w:rFonts w:ascii="Arial" w:hAnsi="Arial" w:cs="Arial"/>
          <w:sz w:val="18"/>
          <w:szCs w:val="18"/>
          <w:lang w:val="en-US"/>
        </w:rPr>
        <w:t xml:space="preserve"> Research Forum </w:t>
      </w:r>
      <w:r w:rsidR="00B36D1D">
        <w:rPr>
          <w:rFonts w:ascii="Arial" w:hAnsi="Arial" w:cs="Arial"/>
          <w:sz w:val="18"/>
          <w:szCs w:val="18"/>
          <w:lang w:val="en-US"/>
        </w:rPr>
        <w:t>will</w:t>
      </w:r>
      <w:r w:rsidR="000B598B">
        <w:rPr>
          <w:rFonts w:ascii="Arial" w:hAnsi="Arial" w:cs="Arial"/>
          <w:sz w:val="18"/>
          <w:szCs w:val="18"/>
          <w:lang w:val="en-US"/>
        </w:rPr>
        <w:t xml:space="preserve"> contribute to </w:t>
      </w:r>
      <w:r w:rsidR="006018A1">
        <w:rPr>
          <w:rFonts w:ascii="Arial" w:hAnsi="Arial" w:cs="Arial"/>
          <w:sz w:val="18"/>
          <w:szCs w:val="18"/>
          <w:lang w:val="en-US"/>
        </w:rPr>
        <w:t xml:space="preserve">the </w:t>
      </w:r>
      <w:r w:rsidR="000B598B">
        <w:rPr>
          <w:rFonts w:ascii="Arial" w:hAnsi="Arial" w:cs="Arial"/>
          <w:sz w:val="18"/>
          <w:szCs w:val="18"/>
          <w:lang w:val="en-US"/>
        </w:rPr>
        <w:t xml:space="preserve">improvement of transparency on </w:t>
      </w:r>
      <w:r w:rsidR="006018A1">
        <w:rPr>
          <w:rFonts w:ascii="Arial" w:hAnsi="Arial" w:cs="Arial"/>
          <w:sz w:val="18"/>
          <w:szCs w:val="18"/>
          <w:lang w:val="en-US"/>
        </w:rPr>
        <w:t xml:space="preserve">the </w:t>
      </w:r>
      <w:r w:rsidR="00BD5979">
        <w:rPr>
          <w:rFonts w:ascii="Arial" w:hAnsi="Arial" w:cs="Arial"/>
          <w:sz w:val="18"/>
          <w:szCs w:val="18"/>
          <w:lang w:val="en-US"/>
        </w:rPr>
        <w:t xml:space="preserve">regional </w:t>
      </w:r>
      <w:r w:rsidR="000B598B">
        <w:rPr>
          <w:rFonts w:ascii="Arial" w:hAnsi="Arial" w:cs="Arial"/>
          <w:sz w:val="18"/>
          <w:szCs w:val="18"/>
          <w:lang w:val="en-US"/>
        </w:rPr>
        <w:t xml:space="preserve">Czech </w:t>
      </w:r>
      <w:r w:rsidR="00BD5979">
        <w:rPr>
          <w:rFonts w:ascii="Arial" w:hAnsi="Arial" w:cs="Arial"/>
          <w:sz w:val="18"/>
          <w:szCs w:val="18"/>
          <w:lang w:val="en-US"/>
        </w:rPr>
        <w:t>office</w:t>
      </w:r>
      <w:r w:rsidR="000B598B">
        <w:rPr>
          <w:rFonts w:ascii="Arial" w:hAnsi="Arial" w:cs="Arial"/>
          <w:sz w:val="18"/>
          <w:szCs w:val="18"/>
          <w:lang w:val="en-US"/>
        </w:rPr>
        <w:t xml:space="preserve"> market</w:t>
      </w:r>
      <w:r w:rsidR="00BD5979">
        <w:rPr>
          <w:rFonts w:ascii="Arial" w:hAnsi="Arial" w:cs="Arial"/>
          <w:sz w:val="18"/>
          <w:szCs w:val="18"/>
          <w:lang w:val="en-US"/>
        </w:rPr>
        <w:t>s</w:t>
      </w:r>
      <w:r w:rsidR="000B598B">
        <w:rPr>
          <w:rFonts w:ascii="Arial" w:hAnsi="Arial" w:cs="Arial"/>
          <w:sz w:val="18"/>
          <w:szCs w:val="18"/>
          <w:lang w:val="en-US"/>
        </w:rPr>
        <w:t xml:space="preserve">. </w:t>
      </w:r>
    </w:p>
    <w:p w:rsidR="00DE7793" w:rsidRDefault="00DE7793" w:rsidP="00710C2A">
      <w:pPr>
        <w:jc w:val="both"/>
        <w:rPr>
          <w:rFonts w:ascii="Arial" w:hAnsi="Arial" w:cs="Arial"/>
          <w:sz w:val="18"/>
          <w:szCs w:val="18"/>
          <w:lang w:val="en-US"/>
        </w:rPr>
      </w:pPr>
    </w:p>
    <w:p w:rsidR="00B85898" w:rsidRDefault="00B85898" w:rsidP="00710C2A">
      <w:pPr>
        <w:jc w:val="both"/>
        <w:rPr>
          <w:rFonts w:ascii="Arial" w:hAnsi="Arial" w:cs="Arial"/>
          <w:sz w:val="18"/>
          <w:szCs w:val="18"/>
          <w:lang w:val="en-US"/>
        </w:rPr>
      </w:pPr>
    </w:p>
    <w:p w:rsidR="00B85898" w:rsidRDefault="00B85898" w:rsidP="00710C2A">
      <w:pPr>
        <w:jc w:val="both"/>
        <w:rPr>
          <w:rFonts w:ascii="Arial" w:hAnsi="Arial" w:cs="Arial"/>
          <w:sz w:val="18"/>
          <w:szCs w:val="18"/>
          <w:lang w:val="en-US"/>
        </w:rPr>
      </w:pPr>
    </w:p>
    <w:p w:rsidR="00B85898" w:rsidRDefault="00B85898" w:rsidP="00710C2A">
      <w:pPr>
        <w:jc w:val="both"/>
        <w:rPr>
          <w:rFonts w:ascii="Arial" w:hAnsi="Arial" w:cs="Arial"/>
          <w:sz w:val="18"/>
          <w:szCs w:val="18"/>
          <w:lang w:val="en-US"/>
        </w:rPr>
      </w:pPr>
    </w:p>
    <w:p w:rsidR="00B85898" w:rsidRDefault="00B85898" w:rsidP="00710C2A">
      <w:pPr>
        <w:jc w:val="both"/>
        <w:rPr>
          <w:rFonts w:ascii="Arial" w:hAnsi="Arial" w:cs="Arial"/>
          <w:sz w:val="18"/>
          <w:szCs w:val="18"/>
          <w:lang w:val="en-US"/>
        </w:rPr>
      </w:pPr>
    </w:p>
    <w:p w:rsidR="00B85898" w:rsidRDefault="00B85898" w:rsidP="00710C2A">
      <w:pPr>
        <w:jc w:val="both"/>
        <w:rPr>
          <w:rFonts w:ascii="Arial" w:hAnsi="Arial" w:cs="Arial"/>
          <w:sz w:val="18"/>
          <w:szCs w:val="18"/>
          <w:lang w:val="en-US"/>
        </w:rPr>
      </w:pPr>
    </w:p>
    <w:p w:rsidR="007733FB" w:rsidRDefault="006018A1" w:rsidP="003F2740">
      <w:pPr>
        <w:jc w:val="both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 xml:space="preserve">The </w:t>
      </w:r>
      <w:r w:rsidR="00BD5979">
        <w:rPr>
          <w:rFonts w:ascii="Arial" w:hAnsi="Arial" w:cs="Arial"/>
          <w:sz w:val="18"/>
          <w:szCs w:val="18"/>
          <w:lang w:val="en-US"/>
        </w:rPr>
        <w:t>Regional</w:t>
      </w:r>
      <w:r w:rsidR="000B598B">
        <w:rPr>
          <w:rFonts w:ascii="Arial" w:hAnsi="Arial" w:cs="Arial"/>
          <w:sz w:val="18"/>
          <w:szCs w:val="18"/>
          <w:lang w:val="en-US"/>
        </w:rPr>
        <w:t xml:space="preserve"> Research forum </w:t>
      </w:r>
      <w:r w:rsidR="007733FB">
        <w:rPr>
          <w:rFonts w:ascii="Arial" w:hAnsi="Arial" w:cs="Arial"/>
          <w:sz w:val="18"/>
          <w:szCs w:val="18"/>
          <w:lang w:val="en-US"/>
        </w:rPr>
        <w:t>is pleased to announce the</w:t>
      </w:r>
      <w:r w:rsidR="00BD5979">
        <w:rPr>
          <w:rFonts w:ascii="Arial" w:hAnsi="Arial" w:cs="Arial"/>
          <w:sz w:val="18"/>
          <w:szCs w:val="18"/>
          <w:lang w:val="en-US"/>
        </w:rPr>
        <w:t xml:space="preserve"> Brno Office</w:t>
      </w:r>
      <w:r>
        <w:rPr>
          <w:rFonts w:ascii="Arial" w:hAnsi="Arial" w:cs="Arial"/>
          <w:sz w:val="18"/>
          <w:szCs w:val="18"/>
          <w:lang w:val="en-US"/>
        </w:rPr>
        <w:t xml:space="preserve"> M</w:t>
      </w:r>
      <w:r w:rsidR="00DE7793">
        <w:rPr>
          <w:rFonts w:ascii="Arial" w:hAnsi="Arial" w:cs="Arial"/>
          <w:sz w:val="18"/>
          <w:szCs w:val="18"/>
          <w:lang w:val="en-US"/>
        </w:rPr>
        <w:t xml:space="preserve">arket figures for </w:t>
      </w:r>
      <w:r w:rsidR="00AF6BCC">
        <w:rPr>
          <w:rFonts w:ascii="Arial" w:hAnsi="Arial" w:cs="Arial"/>
          <w:sz w:val="18"/>
          <w:szCs w:val="18"/>
          <w:lang w:val="en-US"/>
        </w:rPr>
        <w:t xml:space="preserve">H1 </w:t>
      </w:r>
      <w:r w:rsidR="007733FB">
        <w:rPr>
          <w:rFonts w:ascii="Arial" w:hAnsi="Arial" w:cs="Arial"/>
          <w:sz w:val="18"/>
          <w:szCs w:val="18"/>
          <w:lang w:val="en-US"/>
        </w:rPr>
        <w:t>20</w:t>
      </w:r>
      <w:r w:rsidR="00FC6D7F">
        <w:rPr>
          <w:rFonts w:ascii="Arial" w:hAnsi="Arial" w:cs="Arial"/>
          <w:sz w:val="18"/>
          <w:szCs w:val="18"/>
          <w:lang w:val="en-US"/>
        </w:rPr>
        <w:t>1</w:t>
      </w:r>
      <w:r w:rsidR="00AF6BCC">
        <w:rPr>
          <w:rFonts w:ascii="Arial" w:hAnsi="Arial" w:cs="Arial"/>
          <w:sz w:val="18"/>
          <w:szCs w:val="18"/>
          <w:lang w:val="en-US"/>
        </w:rPr>
        <w:t>4</w:t>
      </w:r>
      <w:r w:rsidR="007733FB">
        <w:rPr>
          <w:rFonts w:ascii="Arial" w:hAnsi="Arial" w:cs="Arial"/>
          <w:sz w:val="18"/>
          <w:szCs w:val="18"/>
          <w:lang w:val="en-US"/>
        </w:rPr>
        <w:t xml:space="preserve">. </w:t>
      </w:r>
    </w:p>
    <w:p w:rsidR="007733FB" w:rsidRDefault="007733FB" w:rsidP="007733FB">
      <w:pPr>
        <w:jc w:val="both"/>
        <w:rPr>
          <w:rFonts w:ascii="Arial" w:hAnsi="Arial" w:cs="Arial"/>
          <w:sz w:val="18"/>
          <w:szCs w:val="18"/>
          <w:lang w:val="en-US"/>
        </w:rPr>
      </w:pPr>
    </w:p>
    <w:p w:rsidR="007733FB" w:rsidRDefault="00A65D01" w:rsidP="007733FB">
      <w:pPr>
        <w:jc w:val="both"/>
        <w:outlineLvl w:val="0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 xml:space="preserve">Brno Office </w:t>
      </w:r>
      <w:r w:rsidR="007733FB">
        <w:rPr>
          <w:rFonts w:ascii="Arial" w:hAnsi="Arial" w:cs="Arial"/>
          <w:b/>
          <w:bCs/>
          <w:lang w:val="en-US"/>
        </w:rPr>
        <w:t>Supply/Stock</w:t>
      </w:r>
    </w:p>
    <w:p w:rsidR="007733FB" w:rsidRDefault="007733FB" w:rsidP="007733FB">
      <w:pPr>
        <w:jc w:val="both"/>
        <w:rPr>
          <w:rFonts w:ascii="Arial" w:hAnsi="Arial" w:cs="Arial"/>
          <w:b/>
          <w:bCs/>
          <w:sz w:val="18"/>
          <w:szCs w:val="18"/>
          <w:lang w:val="en-US"/>
        </w:rPr>
      </w:pPr>
    </w:p>
    <w:p w:rsidR="007B2060" w:rsidRDefault="00847309" w:rsidP="00DE7793">
      <w:pPr>
        <w:jc w:val="both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T</w:t>
      </w:r>
      <w:r w:rsidR="007B2060">
        <w:rPr>
          <w:rFonts w:ascii="Arial" w:hAnsi="Arial" w:cs="Arial"/>
          <w:sz w:val="18"/>
          <w:szCs w:val="18"/>
          <w:lang w:val="en-US"/>
        </w:rPr>
        <w:t xml:space="preserve">otal modern office stock in Brno </w:t>
      </w:r>
      <w:r w:rsidR="00304DB6">
        <w:rPr>
          <w:rFonts w:ascii="Arial" w:hAnsi="Arial" w:cs="Arial"/>
          <w:sz w:val="18"/>
          <w:szCs w:val="18"/>
          <w:lang w:val="en-US"/>
        </w:rPr>
        <w:t>reached</w:t>
      </w:r>
      <w:r w:rsidR="00C25162">
        <w:rPr>
          <w:rFonts w:ascii="Arial" w:hAnsi="Arial" w:cs="Arial"/>
          <w:sz w:val="18"/>
          <w:szCs w:val="18"/>
          <w:lang w:val="en-US"/>
        </w:rPr>
        <w:t xml:space="preserve"> </w:t>
      </w:r>
      <w:r w:rsidR="00AF6BCC">
        <w:rPr>
          <w:rFonts w:ascii="Arial" w:hAnsi="Arial" w:cs="Arial"/>
          <w:sz w:val="18"/>
          <w:szCs w:val="18"/>
          <w:lang w:val="en-US"/>
        </w:rPr>
        <w:t>461</w:t>
      </w:r>
      <w:r w:rsidR="005D2C2A">
        <w:rPr>
          <w:rFonts w:ascii="Arial" w:hAnsi="Arial" w:cs="Arial"/>
          <w:sz w:val="18"/>
          <w:szCs w:val="18"/>
          <w:lang w:val="en-US"/>
        </w:rPr>
        <w:t>,</w:t>
      </w:r>
      <w:r w:rsidR="00AF6BCC">
        <w:rPr>
          <w:rFonts w:ascii="Arial" w:hAnsi="Arial" w:cs="Arial"/>
          <w:sz w:val="18"/>
          <w:szCs w:val="18"/>
          <w:lang w:val="en-US"/>
        </w:rPr>
        <w:t>5</w:t>
      </w:r>
      <w:r w:rsidR="005D2C2A">
        <w:rPr>
          <w:rFonts w:ascii="Arial" w:hAnsi="Arial" w:cs="Arial"/>
          <w:sz w:val="18"/>
          <w:szCs w:val="18"/>
          <w:lang w:val="en-US"/>
        </w:rPr>
        <w:t>00</w:t>
      </w:r>
      <w:r w:rsidR="00DE7793">
        <w:rPr>
          <w:rFonts w:ascii="Arial" w:hAnsi="Arial" w:cs="Arial"/>
          <w:sz w:val="18"/>
          <w:szCs w:val="18"/>
          <w:lang w:val="en-US"/>
        </w:rPr>
        <w:t xml:space="preserve"> </w:t>
      </w:r>
      <w:r w:rsidR="007B2060">
        <w:rPr>
          <w:rFonts w:ascii="Arial" w:hAnsi="Arial" w:cs="Arial"/>
          <w:sz w:val="18"/>
          <w:szCs w:val="18"/>
          <w:lang w:val="en-US"/>
        </w:rPr>
        <w:t>sq</w:t>
      </w:r>
      <w:r w:rsidR="00E2027F">
        <w:rPr>
          <w:rFonts w:ascii="Arial" w:hAnsi="Arial" w:cs="Arial"/>
          <w:sz w:val="18"/>
          <w:szCs w:val="18"/>
          <w:lang w:val="en-US"/>
        </w:rPr>
        <w:t xml:space="preserve"> </w:t>
      </w:r>
      <w:r w:rsidR="007B2060">
        <w:rPr>
          <w:rFonts w:ascii="Arial" w:hAnsi="Arial" w:cs="Arial"/>
          <w:sz w:val="18"/>
          <w:szCs w:val="18"/>
          <w:lang w:val="en-US"/>
        </w:rPr>
        <w:t>m</w:t>
      </w:r>
      <w:r w:rsidR="00DE7793">
        <w:rPr>
          <w:rFonts w:ascii="Arial" w:hAnsi="Arial" w:cs="Arial"/>
          <w:sz w:val="18"/>
          <w:szCs w:val="18"/>
          <w:lang w:val="en-US"/>
        </w:rPr>
        <w:t xml:space="preserve"> </w:t>
      </w:r>
      <w:r w:rsidR="006541FF">
        <w:rPr>
          <w:rFonts w:ascii="Arial" w:hAnsi="Arial" w:cs="Arial"/>
          <w:sz w:val="18"/>
          <w:szCs w:val="18"/>
          <w:lang w:val="en-US"/>
        </w:rPr>
        <w:t>in the</w:t>
      </w:r>
      <w:r w:rsidR="00B9427D">
        <w:rPr>
          <w:rFonts w:ascii="Arial" w:hAnsi="Arial" w:cs="Arial"/>
          <w:sz w:val="18"/>
          <w:szCs w:val="18"/>
          <w:lang w:val="en-US"/>
        </w:rPr>
        <w:t xml:space="preserve"> </w:t>
      </w:r>
      <w:r w:rsidR="00AF6BCC">
        <w:rPr>
          <w:rFonts w:ascii="Arial" w:hAnsi="Arial" w:cs="Arial"/>
          <w:sz w:val="18"/>
          <w:szCs w:val="18"/>
          <w:lang w:val="en-US"/>
        </w:rPr>
        <w:t>first</w:t>
      </w:r>
      <w:r w:rsidR="005D2C2A">
        <w:rPr>
          <w:rFonts w:ascii="Arial" w:hAnsi="Arial" w:cs="Arial"/>
          <w:sz w:val="18"/>
          <w:szCs w:val="18"/>
          <w:lang w:val="en-US"/>
        </w:rPr>
        <w:t xml:space="preserve"> half of </w:t>
      </w:r>
      <w:r w:rsidR="00B9427D">
        <w:rPr>
          <w:rFonts w:ascii="Arial" w:hAnsi="Arial" w:cs="Arial"/>
          <w:sz w:val="18"/>
          <w:szCs w:val="18"/>
          <w:lang w:val="en-US"/>
        </w:rPr>
        <w:t>201</w:t>
      </w:r>
      <w:r w:rsidR="00AF6BCC">
        <w:rPr>
          <w:rFonts w:ascii="Arial" w:hAnsi="Arial" w:cs="Arial"/>
          <w:sz w:val="18"/>
          <w:szCs w:val="18"/>
          <w:lang w:val="en-US"/>
        </w:rPr>
        <w:t>4</w:t>
      </w:r>
      <w:r w:rsidR="007B2060">
        <w:rPr>
          <w:rFonts w:ascii="Arial" w:hAnsi="Arial" w:cs="Arial"/>
          <w:sz w:val="18"/>
          <w:szCs w:val="18"/>
          <w:lang w:val="en-US"/>
        </w:rPr>
        <w:t>.</w:t>
      </w:r>
      <w:r w:rsidR="00AF6BCC">
        <w:rPr>
          <w:rFonts w:ascii="Arial" w:hAnsi="Arial" w:cs="Arial"/>
          <w:sz w:val="18"/>
          <w:szCs w:val="18"/>
          <w:lang w:val="en-US"/>
        </w:rPr>
        <w:t xml:space="preserve"> A class properties represent 79</w:t>
      </w:r>
      <w:r w:rsidR="007B2060">
        <w:rPr>
          <w:rFonts w:ascii="Arial" w:hAnsi="Arial" w:cs="Arial"/>
          <w:sz w:val="18"/>
          <w:szCs w:val="18"/>
          <w:lang w:val="en-US"/>
        </w:rPr>
        <w:t>% of the modern stock</w:t>
      </w:r>
      <w:r w:rsidR="00E35608">
        <w:rPr>
          <w:rFonts w:ascii="Arial" w:hAnsi="Arial" w:cs="Arial"/>
          <w:sz w:val="18"/>
          <w:szCs w:val="18"/>
          <w:lang w:val="en-US"/>
        </w:rPr>
        <w:t xml:space="preserve"> and </w:t>
      </w:r>
      <w:r w:rsidR="007B2060">
        <w:rPr>
          <w:rFonts w:ascii="Arial" w:hAnsi="Arial" w:cs="Arial"/>
          <w:sz w:val="18"/>
          <w:szCs w:val="18"/>
          <w:lang w:val="en-US"/>
        </w:rPr>
        <w:t>B class properties represent the remaining</w:t>
      </w:r>
      <w:r w:rsidR="00AF6BCC">
        <w:rPr>
          <w:rFonts w:ascii="Arial" w:hAnsi="Arial" w:cs="Arial"/>
          <w:sz w:val="18"/>
          <w:szCs w:val="18"/>
          <w:lang w:val="en-US"/>
        </w:rPr>
        <w:t xml:space="preserve"> 21</w:t>
      </w:r>
      <w:r w:rsidR="007B2060">
        <w:rPr>
          <w:rFonts w:ascii="Arial" w:hAnsi="Arial" w:cs="Arial"/>
          <w:sz w:val="18"/>
          <w:szCs w:val="18"/>
          <w:lang w:val="en-US"/>
        </w:rPr>
        <w:t>%.</w:t>
      </w:r>
    </w:p>
    <w:p w:rsidR="007B2060" w:rsidRPr="009F6C7F" w:rsidRDefault="007B2060" w:rsidP="007B2060">
      <w:pPr>
        <w:jc w:val="both"/>
        <w:rPr>
          <w:rFonts w:ascii="Arial" w:hAnsi="Arial" w:cs="Arial"/>
          <w:sz w:val="18"/>
          <w:szCs w:val="18"/>
        </w:rPr>
      </w:pPr>
    </w:p>
    <w:p w:rsidR="00F4073A" w:rsidRDefault="00C25162" w:rsidP="00B85898">
      <w:pPr>
        <w:jc w:val="both"/>
        <w:rPr>
          <w:rFonts w:ascii="Arial" w:hAnsi="Arial" w:cs="Arial"/>
          <w:sz w:val="18"/>
          <w:szCs w:val="18"/>
          <w:lang w:val="en-US" w:eastAsia="cs-CZ"/>
        </w:rPr>
      </w:pPr>
      <w:r>
        <w:rPr>
          <w:rFonts w:ascii="Arial" w:hAnsi="Arial" w:cs="Arial"/>
          <w:sz w:val="18"/>
          <w:szCs w:val="18"/>
        </w:rPr>
        <w:t>During</w:t>
      </w:r>
      <w:r w:rsidR="0035094F">
        <w:rPr>
          <w:rFonts w:ascii="Arial" w:hAnsi="Arial" w:cs="Arial"/>
          <w:sz w:val="18"/>
          <w:szCs w:val="18"/>
        </w:rPr>
        <w:t xml:space="preserve"> </w:t>
      </w:r>
      <w:r w:rsidR="00AF6BCC">
        <w:rPr>
          <w:rFonts w:ascii="Arial" w:hAnsi="Arial" w:cs="Arial"/>
          <w:sz w:val="18"/>
          <w:szCs w:val="18"/>
        </w:rPr>
        <w:t>H1</w:t>
      </w:r>
      <w:r w:rsidR="005D2C2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201</w:t>
      </w:r>
      <w:r w:rsidR="00AF6BCC">
        <w:rPr>
          <w:rFonts w:ascii="Arial" w:hAnsi="Arial" w:cs="Arial"/>
          <w:sz w:val="18"/>
          <w:szCs w:val="18"/>
        </w:rPr>
        <w:t>4</w:t>
      </w:r>
      <w:r w:rsidR="007B2060" w:rsidRPr="009F6C7F">
        <w:rPr>
          <w:rFonts w:ascii="Arial" w:hAnsi="Arial" w:cs="Arial"/>
          <w:sz w:val="18"/>
          <w:szCs w:val="18"/>
        </w:rPr>
        <w:t xml:space="preserve">, </w:t>
      </w:r>
      <w:r w:rsidR="0076458D">
        <w:rPr>
          <w:rFonts w:ascii="Arial" w:hAnsi="Arial" w:cs="Arial"/>
          <w:sz w:val="18"/>
          <w:szCs w:val="18"/>
        </w:rPr>
        <w:t>three</w:t>
      </w:r>
      <w:r>
        <w:rPr>
          <w:rFonts w:ascii="Arial" w:hAnsi="Arial" w:cs="Arial"/>
          <w:sz w:val="18"/>
          <w:szCs w:val="18"/>
        </w:rPr>
        <w:t xml:space="preserve"> new</w:t>
      </w:r>
      <w:r w:rsidR="00A63F45">
        <w:rPr>
          <w:rFonts w:ascii="Arial" w:hAnsi="Arial" w:cs="Arial"/>
          <w:sz w:val="18"/>
          <w:szCs w:val="18"/>
        </w:rPr>
        <w:t xml:space="preserve"> </w:t>
      </w:r>
      <w:r w:rsidR="003E2A3E">
        <w:rPr>
          <w:rFonts w:ascii="Arial" w:hAnsi="Arial" w:cs="Arial"/>
          <w:sz w:val="18"/>
          <w:szCs w:val="18"/>
        </w:rPr>
        <w:t xml:space="preserve">office </w:t>
      </w:r>
      <w:r>
        <w:rPr>
          <w:rFonts w:ascii="Arial" w:hAnsi="Arial" w:cs="Arial"/>
          <w:sz w:val="18"/>
          <w:szCs w:val="18"/>
        </w:rPr>
        <w:t>propert</w:t>
      </w:r>
      <w:r w:rsidR="0076458D">
        <w:rPr>
          <w:rFonts w:ascii="Arial" w:hAnsi="Arial" w:cs="Arial"/>
          <w:sz w:val="18"/>
          <w:szCs w:val="18"/>
        </w:rPr>
        <w:t>ies</w:t>
      </w:r>
      <w:r>
        <w:rPr>
          <w:rFonts w:ascii="Arial" w:hAnsi="Arial" w:cs="Arial"/>
          <w:sz w:val="18"/>
          <w:szCs w:val="18"/>
        </w:rPr>
        <w:t xml:space="preserve"> w</w:t>
      </w:r>
      <w:r w:rsidR="0076458D">
        <w:rPr>
          <w:rFonts w:ascii="Arial" w:hAnsi="Arial" w:cs="Arial"/>
          <w:sz w:val="18"/>
          <w:szCs w:val="18"/>
        </w:rPr>
        <w:t>ere</w:t>
      </w:r>
      <w:r>
        <w:rPr>
          <w:rFonts w:ascii="Arial" w:hAnsi="Arial" w:cs="Arial"/>
          <w:sz w:val="18"/>
          <w:szCs w:val="18"/>
        </w:rPr>
        <w:t xml:space="preserve"> com</w:t>
      </w:r>
      <w:r w:rsidR="00DE7793">
        <w:rPr>
          <w:rFonts w:ascii="Arial" w:hAnsi="Arial" w:cs="Arial"/>
          <w:sz w:val="18"/>
          <w:szCs w:val="18"/>
        </w:rPr>
        <w:t xml:space="preserve">pleted: </w:t>
      </w:r>
      <w:r w:rsidR="0076458D">
        <w:rPr>
          <w:rFonts w:ascii="Arial" w:hAnsi="Arial" w:cs="Arial"/>
          <w:sz w:val="18"/>
          <w:szCs w:val="18"/>
          <w:lang w:val="en-US"/>
        </w:rPr>
        <w:t>Titanium I (13,</w:t>
      </w:r>
      <w:r w:rsidR="00AF6BCC">
        <w:rPr>
          <w:rFonts w:ascii="Arial" w:hAnsi="Arial" w:cs="Arial"/>
          <w:sz w:val="18"/>
          <w:szCs w:val="18"/>
          <w:lang w:val="en-US"/>
        </w:rPr>
        <w:t>200</w:t>
      </w:r>
      <w:r w:rsidR="00F4073A" w:rsidRPr="00F4073A">
        <w:rPr>
          <w:rFonts w:ascii="Arial" w:hAnsi="Arial" w:cs="Arial"/>
          <w:sz w:val="18"/>
          <w:szCs w:val="18"/>
          <w:lang w:val="en-US"/>
        </w:rPr>
        <w:t xml:space="preserve"> </w:t>
      </w:r>
      <w:r w:rsidR="00AF6BCC">
        <w:rPr>
          <w:rFonts w:ascii="Arial" w:hAnsi="Arial" w:cs="Arial"/>
          <w:sz w:val="18"/>
          <w:szCs w:val="18"/>
          <w:lang w:val="en-US"/>
        </w:rPr>
        <w:t>sq m</w:t>
      </w:r>
      <w:r w:rsidR="0076458D">
        <w:rPr>
          <w:rFonts w:ascii="Arial" w:hAnsi="Arial" w:cs="Arial"/>
          <w:sz w:val="18"/>
          <w:szCs w:val="18"/>
          <w:lang w:val="en-US" w:eastAsia="cs-CZ"/>
        </w:rPr>
        <w:t>), CTPark Brno Phase II (9,500 sq m)</w:t>
      </w:r>
      <w:r w:rsidR="00F4073A" w:rsidRPr="00F4073A">
        <w:rPr>
          <w:rFonts w:ascii="Arial" w:hAnsi="Arial" w:cs="Arial"/>
          <w:sz w:val="18"/>
          <w:szCs w:val="18"/>
          <w:lang w:val="en-US" w:eastAsia="cs-CZ"/>
        </w:rPr>
        <w:t xml:space="preserve"> </w:t>
      </w:r>
      <w:r w:rsidR="00555A03">
        <w:rPr>
          <w:rFonts w:ascii="Arial" w:hAnsi="Arial" w:cs="Arial"/>
          <w:sz w:val="18"/>
          <w:szCs w:val="18"/>
          <w:lang w:val="en-US" w:eastAsia="cs-CZ"/>
        </w:rPr>
        <w:t>and Ú</w:t>
      </w:r>
      <w:r w:rsidR="0076458D">
        <w:rPr>
          <w:rFonts w:ascii="Arial" w:hAnsi="Arial" w:cs="Arial"/>
          <w:sz w:val="18"/>
          <w:szCs w:val="18"/>
          <w:lang w:val="en-US" w:eastAsia="cs-CZ"/>
        </w:rPr>
        <w:t>řad Práce Město Brno (10,000 sq m).</w:t>
      </w:r>
    </w:p>
    <w:p w:rsidR="00FE4A8D" w:rsidRDefault="00FE4A8D" w:rsidP="00B85898">
      <w:pPr>
        <w:jc w:val="both"/>
        <w:rPr>
          <w:rFonts w:ascii="Arial" w:hAnsi="Arial" w:cs="Arial"/>
          <w:bCs/>
          <w:color w:val="000000"/>
          <w:sz w:val="18"/>
          <w:szCs w:val="18"/>
        </w:rPr>
      </w:pPr>
    </w:p>
    <w:p w:rsidR="003B4A0B" w:rsidRPr="00AA7D47" w:rsidRDefault="00AA7D47" w:rsidP="00B85898">
      <w:pPr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color w:val="000000"/>
          <w:sz w:val="18"/>
          <w:szCs w:val="18"/>
        </w:rPr>
        <w:t xml:space="preserve">Further </w:t>
      </w:r>
      <w:r w:rsidR="00AF6BCC">
        <w:rPr>
          <w:rFonts w:ascii="Arial" w:hAnsi="Arial" w:cs="Arial"/>
          <w:bCs/>
          <w:color w:val="000000"/>
          <w:sz w:val="18"/>
          <w:szCs w:val="18"/>
        </w:rPr>
        <w:t>32,9</w:t>
      </w:r>
      <w:r w:rsidR="005D2C2A">
        <w:rPr>
          <w:rFonts w:ascii="Arial" w:hAnsi="Arial" w:cs="Arial"/>
          <w:bCs/>
          <w:color w:val="000000"/>
          <w:sz w:val="18"/>
          <w:szCs w:val="18"/>
        </w:rPr>
        <w:t xml:space="preserve">00 sq m </w:t>
      </w:r>
      <w:r w:rsidR="00A5457E">
        <w:rPr>
          <w:rFonts w:ascii="Arial" w:hAnsi="Arial" w:cs="Arial"/>
          <w:bCs/>
          <w:sz w:val="18"/>
          <w:szCs w:val="18"/>
        </w:rPr>
        <w:t xml:space="preserve">of new office space </w:t>
      </w:r>
      <w:r>
        <w:rPr>
          <w:rFonts w:ascii="Arial" w:hAnsi="Arial" w:cs="Arial"/>
          <w:bCs/>
          <w:sz w:val="18"/>
          <w:szCs w:val="18"/>
        </w:rPr>
        <w:t>i</w:t>
      </w:r>
      <w:r w:rsidR="00E2027F">
        <w:rPr>
          <w:rFonts w:ascii="Arial" w:hAnsi="Arial" w:cs="Arial"/>
          <w:bCs/>
          <w:sz w:val="18"/>
          <w:szCs w:val="18"/>
        </w:rPr>
        <w:t>s</w:t>
      </w:r>
      <w:r w:rsidR="00A5457E">
        <w:rPr>
          <w:rFonts w:ascii="Arial" w:hAnsi="Arial" w:cs="Arial"/>
          <w:bCs/>
          <w:sz w:val="18"/>
          <w:szCs w:val="18"/>
        </w:rPr>
        <w:t xml:space="preserve"> </w:t>
      </w:r>
      <w:r w:rsidR="003E2A3E">
        <w:rPr>
          <w:rFonts w:ascii="Arial" w:hAnsi="Arial" w:cs="Arial"/>
          <w:bCs/>
          <w:sz w:val="18"/>
          <w:szCs w:val="18"/>
        </w:rPr>
        <w:t>under construction</w:t>
      </w:r>
      <w:r w:rsidR="00E2027F">
        <w:rPr>
          <w:rFonts w:ascii="Arial" w:hAnsi="Arial" w:cs="Arial"/>
          <w:bCs/>
          <w:sz w:val="18"/>
          <w:szCs w:val="18"/>
        </w:rPr>
        <w:t>,</w:t>
      </w:r>
      <w:r w:rsidR="00462CD4">
        <w:rPr>
          <w:rFonts w:ascii="Arial" w:hAnsi="Arial" w:cs="Arial"/>
          <w:bCs/>
          <w:sz w:val="18"/>
          <w:szCs w:val="18"/>
        </w:rPr>
        <w:t xml:space="preserve"> with completion </w:t>
      </w:r>
      <w:r>
        <w:rPr>
          <w:rFonts w:ascii="Arial" w:hAnsi="Arial" w:cs="Arial"/>
          <w:bCs/>
          <w:sz w:val="18"/>
          <w:szCs w:val="18"/>
        </w:rPr>
        <w:t>expected during</w:t>
      </w:r>
      <w:r w:rsidR="00AF6BCC">
        <w:rPr>
          <w:rFonts w:ascii="Arial" w:hAnsi="Arial" w:cs="Arial"/>
          <w:bCs/>
          <w:sz w:val="18"/>
          <w:szCs w:val="18"/>
        </w:rPr>
        <w:t xml:space="preserve"> H2</w:t>
      </w:r>
      <w:r w:rsidR="00462CD4">
        <w:rPr>
          <w:rFonts w:ascii="Arial" w:hAnsi="Arial" w:cs="Arial"/>
          <w:bCs/>
          <w:sz w:val="18"/>
          <w:szCs w:val="18"/>
        </w:rPr>
        <w:t xml:space="preserve"> 201</w:t>
      </w:r>
      <w:r w:rsidR="00FE4A8D">
        <w:rPr>
          <w:rFonts w:ascii="Arial" w:hAnsi="Arial" w:cs="Arial"/>
          <w:bCs/>
          <w:sz w:val="18"/>
          <w:szCs w:val="18"/>
        </w:rPr>
        <w:t>4</w:t>
      </w:r>
      <w:r w:rsidR="00462CD4">
        <w:rPr>
          <w:rFonts w:ascii="Arial" w:hAnsi="Arial" w:cs="Arial"/>
          <w:bCs/>
          <w:sz w:val="18"/>
          <w:szCs w:val="18"/>
        </w:rPr>
        <w:t>.</w:t>
      </w:r>
    </w:p>
    <w:p w:rsidR="003B4A0B" w:rsidRDefault="003B4A0B" w:rsidP="003B4A0B">
      <w:pPr>
        <w:jc w:val="both"/>
        <w:rPr>
          <w:rFonts w:ascii="Arial" w:hAnsi="Arial" w:cs="Arial"/>
          <w:sz w:val="18"/>
          <w:szCs w:val="18"/>
          <w:lang w:val="en-US"/>
        </w:rPr>
      </w:pPr>
    </w:p>
    <w:p w:rsidR="007733FB" w:rsidRDefault="0035094F" w:rsidP="007733FB">
      <w:pPr>
        <w:jc w:val="both"/>
        <w:outlineLvl w:val="0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Brno Office</w:t>
      </w:r>
      <w:r w:rsidR="007733FB">
        <w:rPr>
          <w:rFonts w:ascii="Arial" w:hAnsi="Arial" w:cs="Arial"/>
          <w:b/>
          <w:bCs/>
          <w:lang w:val="en-US"/>
        </w:rPr>
        <w:t xml:space="preserve"> Take-up</w:t>
      </w:r>
    </w:p>
    <w:p w:rsidR="007733FB" w:rsidRDefault="007733FB" w:rsidP="007733FB">
      <w:pPr>
        <w:jc w:val="both"/>
        <w:rPr>
          <w:rFonts w:ascii="Arial" w:hAnsi="Arial" w:cs="Arial"/>
          <w:sz w:val="18"/>
          <w:szCs w:val="18"/>
          <w:lang w:val="en-US"/>
        </w:rPr>
      </w:pPr>
    </w:p>
    <w:p w:rsidR="00462CD4" w:rsidRPr="001A0F1C" w:rsidRDefault="00F81CC6" w:rsidP="00033559">
      <w:pPr>
        <w:jc w:val="both"/>
        <w:rPr>
          <w:rFonts w:ascii="Arial" w:hAnsi="Arial" w:cs="Arial"/>
          <w:sz w:val="18"/>
          <w:szCs w:val="18"/>
          <w:lang w:val="en-US" w:eastAsia="cs-CZ"/>
        </w:rPr>
      </w:pPr>
      <w:r>
        <w:rPr>
          <w:rFonts w:ascii="Arial" w:hAnsi="Arial" w:cs="Arial"/>
          <w:sz w:val="18"/>
          <w:szCs w:val="18"/>
          <w:lang w:val="en-US" w:eastAsia="cs-CZ"/>
        </w:rPr>
        <w:t xml:space="preserve">In </w:t>
      </w:r>
      <w:r w:rsidR="00A05506">
        <w:rPr>
          <w:rFonts w:ascii="Arial" w:hAnsi="Arial" w:cs="Arial"/>
          <w:sz w:val="18"/>
          <w:szCs w:val="18"/>
          <w:lang w:val="en-US" w:eastAsia="cs-CZ"/>
        </w:rPr>
        <w:t>H1 2014</w:t>
      </w:r>
      <w:r w:rsidR="003F06B4">
        <w:rPr>
          <w:rFonts w:ascii="Arial" w:hAnsi="Arial" w:cs="Arial"/>
          <w:sz w:val="18"/>
          <w:szCs w:val="18"/>
          <w:lang w:val="en-US" w:eastAsia="cs-CZ"/>
        </w:rPr>
        <w:t xml:space="preserve">, </w:t>
      </w:r>
      <w:r w:rsidR="00F769D3">
        <w:rPr>
          <w:rFonts w:ascii="Arial" w:hAnsi="Arial" w:cs="Arial"/>
          <w:sz w:val="18"/>
          <w:szCs w:val="18"/>
          <w:lang w:eastAsia="cs-CZ"/>
        </w:rPr>
        <w:t>g</w:t>
      </w:r>
      <w:r w:rsidR="00F769D3" w:rsidRPr="00406870">
        <w:rPr>
          <w:rFonts w:ascii="Arial" w:hAnsi="Arial" w:cs="Arial"/>
          <w:sz w:val="18"/>
          <w:szCs w:val="18"/>
          <w:lang w:eastAsia="cs-CZ"/>
        </w:rPr>
        <w:t xml:space="preserve">ross take-up (including renegotiations) reached </w:t>
      </w:r>
      <w:r w:rsidR="00431B19">
        <w:rPr>
          <w:rFonts w:ascii="Arial" w:hAnsi="Arial" w:cs="Arial"/>
          <w:sz w:val="18"/>
          <w:szCs w:val="18"/>
          <w:lang w:eastAsia="cs-CZ"/>
        </w:rPr>
        <w:t>9</w:t>
      </w:r>
      <w:r w:rsidR="00C2168D">
        <w:rPr>
          <w:rFonts w:ascii="Arial" w:hAnsi="Arial" w:cs="Arial"/>
          <w:sz w:val="18"/>
          <w:szCs w:val="18"/>
          <w:lang w:eastAsia="cs-CZ"/>
        </w:rPr>
        <w:t>,</w:t>
      </w:r>
      <w:r w:rsidR="00A05506">
        <w:rPr>
          <w:rFonts w:ascii="Arial" w:hAnsi="Arial" w:cs="Arial"/>
          <w:sz w:val="18"/>
          <w:szCs w:val="18"/>
          <w:lang w:eastAsia="cs-CZ"/>
        </w:rPr>
        <w:t>0</w:t>
      </w:r>
      <w:r w:rsidR="00B2129D">
        <w:rPr>
          <w:rFonts w:ascii="Arial" w:hAnsi="Arial" w:cs="Arial"/>
          <w:sz w:val="18"/>
          <w:szCs w:val="18"/>
          <w:lang w:eastAsia="cs-CZ"/>
        </w:rPr>
        <w:t>0</w:t>
      </w:r>
      <w:r w:rsidR="00C2168D">
        <w:rPr>
          <w:rFonts w:ascii="Arial" w:hAnsi="Arial" w:cs="Arial"/>
          <w:sz w:val="18"/>
          <w:szCs w:val="18"/>
          <w:lang w:eastAsia="cs-CZ"/>
        </w:rPr>
        <w:t>0</w:t>
      </w:r>
      <w:r w:rsidR="00462CD4">
        <w:rPr>
          <w:rFonts w:ascii="Arial" w:hAnsi="Arial" w:cs="Arial"/>
          <w:sz w:val="18"/>
          <w:szCs w:val="18"/>
          <w:lang w:eastAsia="cs-CZ"/>
        </w:rPr>
        <w:t xml:space="preserve"> </w:t>
      </w:r>
      <w:r w:rsidR="00B26F87">
        <w:rPr>
          <w:rFonts w:ascii="Arial" w:hAnsi="Arial" w:cs="Arial"/>
          <w:sz w:val="18"/>
          <w:szCs w:val="18"/>
          <w:lang w:val="en-US" w:eastAsia="cs-CZ"/>
        </w:rPr>
        <w:t>sq m. T</w:t>
      </w:r>
      <w:r w:rsidR="00510DAF">
        <w:rPr>
          <w:rFonts w:ascii="Arial" w:hAnsi="Arial" w:cs="Arial"/>
          <w:sz w:val="18"/>
          <w:szCs w:val="18"/>
          <w:lang w:val="en-US" w:eastAsia="cs-CZ"/>
        </w:rPr>
        <w:t xml:space="preserve">he </w:t>
      </w:r>
      <w:r w:rsidR="00F6211A">
        <w:rPr>
          <w:rFonts w:ascii="Arial" w:hAnsi="Arial" w:cs="Arial"/>
          <w:sz w:val="18"/>
          <w:szCs w:val="18"/>
          <w:lang w:val="en-US" w:eastAsia="cs-CZ"/>
        </w:rPr>
        <w:t>notable</w:t>
      </w:r>
      <w:r w:rsidR="00510DAF">
        <w:rPr>
          <w:rFonts w:ascii="Arial" w:hAnsi="Arial" w:cs="Arial"/>
          <w:sz w:val="18"/>
          <w:szCs w:val="18"/>
          <w:lang w:val="en-US" w:eastAsia="cs-CZ"/>
        </w:rPr>
        <w:t xml:space="preserve"> deals were </w:t>
      </w:r>
      <w:r w:rsidR="00780DED">
        <w:rPr>
          <w:rFonts w:ascii="Arial" w:hAnsi="Arial" w:cs="Arial"/>
          <w:sz w:val="18"/>
          <w:szCs w:val="18"/>
          <w:lang w:val="en-US" w:eastAsia="cs-CZ"/>
        </w:rPr>
        <w:t>the</w:t>
      </w:r>
      <w:r w:rsidR="00AE517E">
        <w:rPr>
          <w:rFonts w:ascii="Arial" w:hAnsi="Arial" w:cs="Arial"/>
          <w:sz w:val="18"/>
          <w:szCs w:val="18"/>
          <w:lang w:val="en-US" w:eastAsia="cs-CZ"/>
        </w:rPr>
        <w:t xml:space="preserve"> </w:t>
      </w:r>
      <w:r w:rsidR="00A05506">
        <w:rPr>
          <w:rFonts w:ascii="Arial" w:hAnsi="Arial" w:cs="Arial"/>
          <w:sz w:val="18"/>
          <w:szCs w:val="18"/>
          <w:lang w:val="en-US" w:eastAsia="cs-CZ"/>
        </w:rPr>
        <w:t>new lease of Moravia I</w:t>
      </w:r>
      <w:r w:rsidR="00B2129D">
        <w:rPr>
          <w:rFonts w:ascii="Arial" w:hAnsi="Arial" w:cs="Arial"/>
          <w:sz w:val="18"/>
          <w:szCs w:val="18"/>
          <w:lang w:val="en-US" w:eastAsia="cs-CZ"/>
        </w:rPr>
        <w:t xml:space="preserve">T in </w:t>
      </w:r>
      <w:r w:rsidR="00A05506">
        <w:rPr>
          <w:rFonts w:ascii="Arial" w:hAnsi="Arial" w:cs="Arial"/>
          <w:sz w:val="18"/>
          <w:szCs w:val="18"/>
          <w:lang w:val="en-US" w:eastAsia="cs-CZ"/>
        </w:rPr>
        <w:t>Česká Pojišťovna building (2</w:t>
      </w:r>
      <w:r w:rsidR="00AE3B43">
        <w:rPr>
          <w:rFonts w:ascii="Arial" w:hAnsi="Arial" w:cs="Arial"/>
          <w:sz w:val="18"/>
          <w:szCs w:val="18"/>
          <w:lang w:val="en-US" w:eastAsia="cs-CZ"/>
        </w:rPr>
        <w:t>,000 sq m),</w:t>
      </w:r>
      <w:r w:rsidR="00A05506">
        <w:rPr>
          <w:rFonts w:ascii="Arial" w:hAnsi="Arial" w:cs="Arial"/>
          <w:sz w:val="18"/>
          <w:szCs w:val="18"/>
          <w:lang w:val="en-US" w:eastAsia="cs-CZ"/>
        </w:rPr>
        <w:t xml:space="preserve"> the new </w:t>
      </w:r>
      <w:r w:rsidR="00B2129D" w:rsidRPr="001A0F1C">
        <w:rPr>
          <w:rFonts w:ascii="Arial" w:hAnsi="Arial" w:cs="Arial"/>
          <w:sz w:val="18"/>
          <w:szCs w:val="18"/>
          <w:lang w:val="en-US" w:eastAsia="cs-CZ"/>
        </w:rPr>
        <w:t xml:space="preserve">lease of </w:t>
      </w:r>
      <w:r w:rsidR="00A05506">
        <w:rPr>
          <w:rFonts w:ascii="Arial" w:hAnsi="Arial" w:cs="Arial"/>
          <w:sz w:val="18"/>
          <w:szCs w:val="18"/>
          <w:lang w:val="en-US" w:eastAsia="cs-CZ"/>
        </w:rPr>
        <w:t>Tieto Czech s.r.o.</w:t>
      </w:r>
      <w:r w:rsidR="00B2129D" w:rsidRPr="001A0F1C">
        <w:rPr>
          <w:rFonts w:ascii="Arial" w:hAnsi="Arial" w:cs="Arial"/>
          <w:sz w:val="18"/>
          <w:szCs w:val="18"/>
          <w:lang w:val="en-US" w:eastAsia="cs-CZ"/>
        </w:rPr>
        <w:t xml:space="preserve"> in </w:t>
      </w:r>
      <w:r w:rsidR="00A05506">
        <w:rPr>
          <w:rFonts w:ascii="Arial" w:hAnsi="Arial" w:cs="Arial"/>
          <w:sz w:val="18"/>
          <w:szCs w:val="18"/>
          <w:lang w:val="en-US" w:eastAsia="cs-CZ"/>
        </w:rPr>
        <w:t>Brno Business Park D (1,800 sq m) and the expansion</w:t>
      </w:r>
      <w:r w:rsidR="00C2081A">
        <w:rPr>
          <w:rFonts w:ascii="Arial" w:hAnsi="Arial" w:cs="Arial"/>
          <w:sz w:val="18"/>
          <w:szCs w:val="18"/>
          <w:lang w:val="en-US" w:eastAsia="cs-CZ"/>
        </w:rPr>
        <w:t xml:space="preserve"> of </w:t>
      </w:r>
      <w:r w:rsidR="00A05506">
        <w:rPr>
          <w:rFonts w:ascii="Arial" w:hAnsi="Arial" w:cs="Arial"/>
          <w:sz w:val="18"/>
          <w:szCs w:val="18"/>
          <w:lang w:val="en-US" w:eastAsia="cs-CZ"/>
        </w:rPr>
        <w:t>embedIT (Home Credit Group) in Tower I (830</w:t>
      </w:r>
      <w:r w:rsidR="00C2081A">
        <w:rPr>
          <w:rFonts w:ascii="Arial" w:hAnsi="Arial" w:cs="Arial"/>
          <w:sz w:val="18"/>
          <w:szCs w:val="18"/>
          <w:lang w:val="en-US" w:eastAsia="cs-CZ"/>
        </w:rPr>
        <w:t xml:space="preserve"> sq m). </w:t>
      </w:r>
    </w:p>
    <w:p w:rsidR="007733FB" w:rsidRPr="001A0F1C" w:rsidRDefault="007733FB" w:rsidP="007733FB">
      <w:pPr>
        <w:jc w:val="both"/>
        <w:outlineLvl w:val="0"/>
        <w:rPr>
          <w:rFonts w:ascii="Arial" w:hAnsi="Arial" w:cs="Arial"/>
          <w:b/>
          <w:bCs/>
          <w:sz w:val="18"/>
          <w:szCs w:val="18"/>
          <w:lang w:val="en-US"/>
        </w:rPr>
      </w:pPr>
    </w:p>
    <w:p w:rsidR="007733FB" w:rsidRDefault="0031418A" w:rsidP="007733FB">
      <w:pPr>
        <w:jc w:val="both"/>
        <w:outlineLvl w:val="0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Vacancy</w:t>
      </w:r>
    </w:p>
    <w:p w:rsidR="007733FB" w:rsidRDefault="007733FB" w:rsidP="007733FB">
      <w:pPr>
        <w:jc w:val="both"/>
        <w:outlineLvl w:val="0"/>
        <w:rPr>
          <w:rFonts w:ascii="Arial" w:hAnsi="Arial" w:cs="Arial"/>
          <w:bCs/>
          <w:sz w:val="18"/>
          <w:szCs w:val="18"/>
          <w:lang w:val="en-US"/>
        </w:rPr>
      </w:pPr>
    </w:p>
    <w:p w:rsidR="00636262" w:rsidRDefault="00EC4973" w:rsidP="00B16A4D">
      <w:pPr>
        <w:jc w:val="both"/>
        <w:outlineLvl w:val="0"/>
        <w:rPr>
          <w:rFonts w:ascii="Arial" w:hAnsi="Arial" w:cs="Arial"/>
          <w:bCs/>
          <w:sz w:val="18"/>
          <w:szCs w:val="18"/>
          <w:lang w:val="en-US"/>
        </w:rPr>
      </w:pPr>
      <w:r>
        <w:rPr>
          <w:rFonts w:ascii="Arial" w:hAnsi="Arial" w:cs="Arial"/>
          <w:bCs/>
          <w:sz w:val="18"/>
          <w:szCs w:val="18"/>
          <w:lang w:val="en-US"/>
        </w:rPr>
        <w:t xml:space="preserve">A total of </w:t>
      </w:r>
      <w:r w:rsidR="00561C5B">
        <w:rPr>
          <w:rFonts w:ascii="Arial" w:hAnsi="Arial" w:cs="Arial"/>
          <w:bCs/>
          <w:sz w:val="18"/>
          <w:szCs w:val="18"/>
          <w:lang w:val="en-US"/>
        </w:rPr>
        <w:t>80,3</w:t>
      </w:r>
      <w:r w:rsidR="00F4073A">
        <w:rPr>
          <w:rFonts w:ascii="Arial" w:hAnsi="Arial" w:cs="Arial"/>
          <w:bCs/>
          <w:sz w:val="18"/>
          <w:szCs w:val="18"/>
          <w:lang w:val="en-US"/>
        </w:rPr>
        <w:t>00</w:t>
      </w:r>
      <w:r w:rsidR="00B16A4D">
        <w:rPr>
          <w:rFonts w:ascii="Arial" w:hAnsi="Arial" w:cs="Arial"/>
          <w:bCs/>
          <w:sz w:val="18"/>
          <w:szCs w:val="18"/>
          <w:lang w:val="en-US"/>
        </w:rPr>
        <w:t xml:space="preserve"> </w:t>
      </w:r>
      <w:r>
        <w:rPr>
          <w:rFonts w:ascii="Arial" w:hAnsi="Arial" w:cs="Arial"/>
          <w:bCs/>
          <w:sz w:val="18"/>
          <w:szCs w:val="18"/>
          <w:lang w:val="en-US"/>
        </w:rPr>
        <w:t xml:space="preserve">sq m of modern </w:t>
      </w:r>
      <w:r w:rsidR="00596241">
        <w:rPr>
          <w:rFonts w:ascii="Arial" w:hAnsi="Arial" w:cs="Arial"/>
          <w:bCs/>
          <w:sz w:val="18"/>
          <w:szCs w:val="18"/>
          <w:lang w:val="en-US"/>
        </w:rPr>
        <w:t>office</w:t>
      </w:r>
      <w:r>
        <w:rPr>
          <w:rFonts w:ascii="Arial" w:hAnsi="Arial" w:cs="Arial"/>
          <w:bCs/>
          <w:sz w:val="18"/>
          <w:szCs w:val="18"/>
          <w:lang w:val="en-US"/>
        </w:rPr>
        <w:t xml:space="preserve"> space was vacant </w:t>
      </w:r>
      <w:r w:rsidR="00E2027F">
        <w:rPr>
          <w:rFonts w:ascii="Arial" w:hAnsi="Arial" w:cs="Arial"/>
          <w:bCs/>
          <w:sz w:val="18"/>
          <w:szCs w:val="18"/>
          <w:lang w:val="en-US"/>
        </w:rPr>
        <w:t>at</w:t>
      </w:r>
      <w:r w:rsidR="00B16A4D">
        <w:rPr>
          <w:rFonts w:ascii="Arial" w:hAnsi="Arial" w:cs="Arial"/>
          <w:bCs/>
          <w:sz w:val="18"/>
          <w:szCs w:val="18"/>
          <w:lang w:val="en-US"/>
        </w:rPr>
        <w:t xml:space="preserve"> the end of</w:t>
      </w:r>
      <w:r w:rsidR="00561C5B">
        <w:rPr>
          <w:rFonts w:ascii="Arial" w:hAnsi="Arial" w:cs="Arial"/>
          <w:bCs/>
          <w:sz w:val="18"/>
          <w:szCs w:val="18"/>
          <w:lang w:val="en-US"/>
        </w:rPr>
        <w:t xml:space="preserve"> H1 2014</w:t>
      </w:r>
      <w:r>
        <w:rPr>
          <w:rFonts w:ascii="Arial" w:hAnsi="Arial" w:cs="Arial"/>
          <w:bCs/>
          <w:sz w:val="18"/>
          <w:szCs w:val="18"/>
          <w:lang w:val="en-US"/>
        </w:rPr>
        <w:t xml:space="preserve">. </w:t>
      </w:r>
      <w:r w:rsidR="0031418A">
        <w:rPr>
          <w:rFonts w:ascii="Arial" w:hAnsi="Arial" w:cs="Arial"/>
          <w:bCs/>
          <w:sz w:val="18"/>
          <w:szCs w:val="18"/>
          <w:lang w:val="en-US"/>
        </w:rPr>
        <w:t xml:space="preserve">The vacancy rate </w:t>
      </w:r>
      <w:r w:rsidR="00412B27">
        <w:rPr>
          <w:rFonts w:ascii="Arial" w:hAnsi="Arial" w:cs="Arial"/>
          <w:bCs/>
          <w:sz w:val="18"/>
          <w:szCs w:val="18"/>
          <w:lang w:val="en-US"/>
        </w:rPr>
        <w:t>reached 1</w:t>
      </w:r>
      <w:r w:rsidR="00561C5B">
        <w:rPr>
          <w:rFonts w:ascii="Arial" w:hAnsi="Arial" w:cs="Arial"/>
          <w:bCs/>
          <w:sz w:val="18"/>
          <w:szCs w:val="18"/>
          <w:lang w:val="en-US"/>
        </w:rPr>
        <w:t>7</w:t>
      </w:r>
      <w:r w:rsidR="00B2129D">
        <w:rPr>
          <w:rFonts w:ascii="Arial" w:hAnsi="Arial" w:cs="Arial"/>
          <w:bCs/>
          <w:sz w:val="18"/>
          <w:szCs w:val="18"/>
          <w:lang w:val="en-US"/>
        </w:rPr>
        <w:t>.</w:t>
      </w:r>
      <w:r w:rsidR="00561C5B">
        <w:rPr>
          <w:rFonts w:ascii="Arial" w:hAnsi="Arial" w:cs="Arial"/>
          <w:bCs/>
          <w:sz w:val="18"/>
          <w:szCs w:val="18"/>
          <w:lang w:val="en-US"/>
        </w:rPr>
        <w:t>4</w:t>
      </w:r>
      <w:r w:rsidR="00596241">
        <w:rPr>
          <w:rFonts w:ascii="Arial" w:hAnsi="Arial" w:cs="Arial"/>
          <w:bCs/>
          <w:sz w:val="18"/>
          <w:szCs w:val="18"/>
          <w:lang w:val="en-US"/>
        </w:rPr>
        <w:t>%, representing a</w:t>
      </w:r>
      <w:r w:rsidR="00C273A9">
        <w:rPr>
          <w:rFonts w:ascii="Arial" w:hAnsi="Arial" w:cs="Arial"/>
          <w:bCs/>
          <w:sz w:val="18"/>
          <w:szCs w:val="18"/>
          <w:lang w:val="en-US"/>
        </w:rPr>
        <w:t xml:space="preserve"> de</w:t>
      </w:r>
      <w:r w:rsidR="00596241" w:rsidRPr="000603DF">
        <w:rPr>
          <w:rFonts w:ascii="Arial" w:hAnsi="Arial" w:cs="Arial"/>
          <w:bCs/>
          <w:sz w:val="18"/>
          <w:szCs w:val="18"/>
          <w:lang w:val="en-US"/>
        </w:rPr>
        <w:t xml:space="preserve">crease </w:t>
      </w:r>
      <w:r w:rsidR="00412B27">
        <w:rPr>
          <w:rFonts w:ascii="Arial" w:hAnsi="Arial" w:cs="Arial"/>
          <w:bCs/>
          <w:sz w:val="18"/>
          <w:szCs w:val="18"/>
          <w:lang w:val="en-US"/>
        </w:rPr>
        <w:t>by</w:t>
      </w:r>
      <w:r w:rsidR="00D165E3" w:rsidRPr="000603DF">
        <w:rPr>
          <w:rFonts w:ascii="Arial" w:hAnsi="Arial" w:cs="Arial"/>
          <w:bCs/>
          <w:sz w:val="18"/>
          <w:szCs w:val="18"/>
          <w:lang w:val="en-US"/>
        </w:rPr>
        <w:t xml:space="preserve"> </w:t>
      </w:r>
      <w:r w:rsidR="00561C5B">
        <w:rPr>
          <w:rFonts w:ascii="Arial" w:hAnsi="Arial" w:cs="Arial"/>
          <w:bCs/>
          <w:sz w:val="18"/>
          <w:szCs w:val="18"/>
          <w:lang w:val="en-US"/>
        </w:rPr>
        <w:t>17</w:t>
      </w:r>
      <w:r w:rsidR="00B16A4D">
        <w:rPr>
          <w:rFonts w:ascii="Arial" w:hAnsi="Arial" w:cs="Arial"/>
          <w:bCs/>
          <w:sz w:val="18"/>
          <w:szCs w:val="18"/>
          <w:lang w:val="en-US"/>
        </w:rPr>
        <w:t>0</w:t>
      </w:r>
      <w:r w:rsidR="00D165E3">
        <w:rPr>
          <w:rFonts w:ascii="Arial" w:hAnsi="Arial" w:cs="Arial"/>
          <w:bCs/>
          <w:sz w:val="18"/>
          <w:szCs w:val="18"/>
          <w:lang w:val="en-US"/>
        </w:rPr>
        <w:t xml:space="preserve"> basis points</w:t>
      </w:r>
      <w:r w:rsidR="00B16A4D">
        <w:rPr>
          <w:rFonts w:ascii="Arial" w:hAnsi="Arial" w:cs="Arial"/>
          <w:bCs/>
          <w:sz w:val="18"/>
          <w:szCs w:val="18"/>
          <w:lang w:val="en-US"/>
        </w:rPr>
        <w:t xml:space="preserve"> compared to </w:t>
      </w:r>
      <w:r w:rsidR="00561C5B">
        <w:rPr>
          <w:rFonts w:ascii="Arial" w:hAnsi="Arial" w:cs="Arial"/>
          <w:bCs/>
          <w:sz w:val="18"/>
          <w:szCs w:val="18"/>
          <w:lang w:val="en-US"/>
        </w:rPr>
        <w:t>the H2</w:t>
      </w:r>
      <w:r w:rsidR="00E2027F">
        <w:rPr>
          <w:rFonts w:ascii="Arial" w:hAnsi="Arial" w:cs="Arial"/>
          <w:bCs/>
          <w:sz w:val="18"/>
          <w:szCs w:val="18"/>
          <w:lang w:val="en-US"/>
        </w:rPr>
        <w:t xml:space="preserve"> 201</w:t>
      </w:r>
      <w:r w:rsidR="00F4073A">
        <w:rPr>
          <w:rFonts w:ascii="Arial" w:hAnsi="Arial" w:cs="Arial"/>
          <w:bCs/>
          <w:sz w:val="18"/>
          <w:szCs w:val="18"/>
          <w:lang w:val="en-US"/>
        </w:rPr>
        <w:t>3</w:t>
      </w:r>
      <w:r w:rsidR="00596241">
        <w:rPr>
          <w:rFonts w:ascii="Arial" w:hAnsi="Arial" w:cs="Arial"/>
          <w:bCs/>
          <w:sz w:val="18"/>
          <w:szCs w:val="18"/>
          <w:lang w:val="en-US"/>
        </w:rPr>
        <w:t>.</w:t>
      </w:r>
    </w:p>
    <w:p w:rsidR="00636262" w:rsidRDefault="00636262" w:rsidP="00EC4973">
      <w:pPr>
        <w:jc w:val="both"/>
        <w:outlineLvl w:val="0"/>
        <w:rPr>
          <w:rFonts w:ascii="Arial" w:hAnsi="Arial" w:cs="Arial"/>
          <w:bCs/>
          <w:sz w:val="18"/>
          <w:szCs w:val="18"/>
          <w:lang w:val="en-US"/>
        </w:rPr>
      </w:pPr>
    </w:p>
    <w:p w:rsidR="00636262" w:rsidRDefault="00636262" w:rsidP="00636262">
      <w:pPr>
        <w:jc w:val="both"/>
        <w:outlineLvl w:val="0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Rents</w:t>
      </w:r>
    </w:p>
    <w:p w:rsidR="00995DFB" w:rsidRPr="00387193" w:rsidRDefault="00995DFB" w:rsidP="00EC4973">
      <w:pPr>
        <w:jc w:val="both"/>
        <w:outlineLvl w:val="0"/>
        <w:rPr>
          <w:rFonts w:ascii="Arial" w:hAnsi="Arial" w:cs="Arial"/>
          <w:sz w:val="18"/>
          <w:szCs w:val="18"/>
          <w:lang w:val="en-US"/>
        </w:rPr>
      </w:pPr>
    </w:p>
    <w:p w:rsidR="00710C2A" w:rsidRPr="006D07ED" w:rsidRDefault="00561C5B" w:rsidP="005B05E9">
      <w:pPr>
        <w:rPr>
          <w:rFonts w:ascii="Arial" w:hAnsi="Arial" w:cs="Arial"/>
          <w:bCs/>
          <w:sz w:val="18"/>
          <w:szCs w:val="18"/>
          <w:lang w:val="en-US"/>
        </w:rPr>
      </w:pPr>
      <w:r>
        <w:rPr>
          <w:rFonts w:ascii="Arial" w:hAnsi="Arial" w:cs="Arial"/>
          <w:bCs/>
          <w:sz w:val="18"/>
          <w:szCs w:val="18"/>
          <w:lang w:val="en-US"/>
        </w:rPr>
        <w:t>In H1 2014</w:t>
      </w:r>
      <w:r w:rsidR="00636262">
        <w:rPr>
          <w:rFonts w:ascii="Arial" w:hAnsi="Arial" w:cs="Arial"/>
          <w:bCs/>
          <w:sz w:val="18"/>
          <w:szCs w:val="18"/>
          <w:lang w:val="en-US"/>
        </w:rPr>
        <w:t xml:space="preserve">, </w:t>
      </w:r>
      <w:r w:rsidR="00D733BA">
        <w:rPr>
          <w:rFonts w:ascii="Arial" w:hAnsi="Arial" w:cs="Arial"/>
          <w:bCs/>
          <w:sz w:val="18"/>
          <w:szCs w:val="18"/>
          <w:lang w:val="en-US"/>
        </w:rPr>
        <w:t>p</w:t>
      </w:r>
      <w:r w:rsidR="00636262">
        <w:rPr>
          <w:rFonts w:ascii="Arial" w:hAnsi="Arial" w:cs="Arial"/>
          <w:bCs/>
          <w:sz w:val="18"/>
          <w:szCs w:val="18"/>
          <w:lang w:val="en-US"/>
        </w:rPr>
        <w:t xml:space="preserve">rime headline rents in </w:t>
      </w:r>
      <w:r w:rsidR="00E2027F">
        <w:rPr>
          <w:rFonts w:ascii="Arial" w:hAnsi="Arial" w:cs="Arial"/>
          <w:bCs/>
          <w:sz w:val="18"/>
          <w:szCs w:val="18"/>
          <w:lang w:val="en-US"/>
        </w:rPr>
        <w:t xml:space="preserve">the </w:t>
      </w:r>
      <w:r w:rsidR="00636262">
        <w:rPr>
          <w:rFonts w:ascii="Arial" w:hAnsi="Arial" w:cs="Arial"/>
          <w:bCs/>
          <w:sz w:val="18"/>
          <w:szCs w:val="18"/>
          <w:lang w:val="en-US"/>
        </w:rPr>
        <w:t xml:space="preserve">Brno office market </w:t>
      </w:r>
      <w:r w:rsidR="006D07ED">
        <w:rPr>
          <w:rFonts w:ascii="Arial" w:hAnsi="Arial" w:cs="Arial"/>
          <w:bCs/>
          <w:sz w:val="18"/>
          <w:szCs w:val="18"/>
          <w:lang w:val="en-US"/>
        </w:rPr>
        <w:t>decreased to</w:t>
      </w:r>
      <w:r w:rsidR="00636262" w:rsidRPr="006D07ED">
        <w:rPr>
          <w:rFonts w:ascii="Arial" w:hAnsi="Arial" w:cs="Arial"/>
          <w:bCs/>
          <w:sz w:val="18"/>
          <w:szCs w:val="18"/>
          <w:lang w:val="en-US"/>
        </w:rPr>
        <w:t xml:space="preserve"> 1</w:t>
      </w:r>
      <w:r w:rsidR="006D07ED" w:rsidRPr="006D07ED">
        <w:rPr>
          <w:rFonts w:ascii="Arial" w:hAnsi="Arial" w:cs="Arial"/>
          <w:bCs/>
          <w:sz w:val="18"/>
          <w:szCs w:val="18"/>
          <w:lang w:val="en-US"/>
        </w:rPr>
        <w:t>2</w:t>
      </w:r>
      <w:r w:rsidR="005B05E9" w:rsidRPr="006D07ED">
        <w:rPr>
          <w:rFonts w:ascii="Arial" w:hAnsi="Arial" w:cs="Arial"/>
          <w:bCs/>
          <w:sz w:val="18"/>
          <w:szCs w:val="18"/>
          <w:lang w:val="en-US"/>
        </w:rPr>
        <w:t>.5</w:t>
      </w:r>
      <w:r w:rsidR="002130B2" w:rsidRPr="006D07ED">
        <w:rPr>
          <w:rFonts w:ascii="Arial" w:hAnsi="Arial" w:cs="Arial"/>
          <w:bCs/>
          <w:sz w:val="18"/>
          <w:szCs w:val="18"/>
          <w:lang w:val="en-US"/>
        </w:rPr>
        <w:t>0</w:t>
      </w:r>
      <w:r w:rsidR="00636262" w:rsidRPr="006D07ED">
        <w:rPr>
          <w:rFonts w:ascii="Arial" w:hAnsi="Arial" w:cs="Arial"/>
          <w:bCs/>
          <w:sz w:val="18"/>
          <w:szCs w:val="18"/>
          <w:lang w:val="en-US"/>
        </w:rPr>
        <w:t xml:space="preserve"> EUR/ sq m/ month.</w:t>
      </w:r>
    </w:p>
    <w:p w:rsidR="00847309" w:rsidRDefault="00847309" w:rsidP="00B16A4D">
      <w:pPr>
        <w:rPr>
          <w:rFonts w:ascii="Arial" w:hAnsi="Arial" w:cs="Arial"/>
          <w:bCs/>
          <w:sz w:val="18"/>
          <w:szCs w:val="18"/>
          <w:lang w:val="en-US"/>
        </w:rPr>
      </w:pPr>
    </w:p>
    <w:p w:rsidR="00847309" w:rsidRDefault="00847309" w:rsidP="00B16A4D">
      <w:pPr>
        <w:rPr>
          <w:rFonts w:ascii="Arial" w:hAnsi="Arial" w:cs="Arial"/>
          <w:bCs/>
          <w:sz w:val="18"/>
          <w:szCs w:val="18"/>
          <w:lang w:val="en-US"/>
        </w:rPr>
      </w:pPr>
    </w:p>
    <w:p w:rsidR="00B90303" w:rsidRDefault="00B90303" w:rsidP="00710C2A">
      <w:pPr>
        <w:jc w:val="center"/>
        <w:outlineLvl w:val="0"/>
        <w:rPr>
          <w:rFonts w:ascii="Arial" w:hAnsi="Arial" w:cs="Arial"/>
          <w:b/>
          <w:noProof/>
          <w:lang w:val="en-US"/>
        </w:rPr>
      </w:pPr>
    </w:p>
    <w:p w:rsidR="00B53F4A" w:rsidRDefault="00B53F4A" w:rsidP="00710C2A">
      <w:pPr>
        <w:jc w:val="center"/>
        <w:outlineLvl w:val="0"/>
        <w:rPr>
          <w:rFonts w:ascii="Arial" w:hAnsi="Arial" w:cs="Arial"/>
          <w:b/>
          <w:noProof/>
          <w:lang w:val="en-US"/>
        </w:rPr>
      </w:pPr>
    </w:p>
    <w:p w:rsidR="00CA0BBC" w:rsidRDefault="00CA0BBC">
      <w:pPr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br w:type="page"/>
      </w:r>
    </w:p>
    <w:p w:rsidR="00847309" w:rsidRDefault="00847309" w:rsidP="00847309">
      <w:pPr>
        <w:jc w:val="both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lastRenderedPageBreak/>
        <w:t xml:space="preserve">The Regional Research forum is pleased to announce the Ostrava Office Market figures for </w:t>
      </w:r>
      <w:r w:rsidR="00CD619E">
        <w:rPr>
          <w:rFonts w:ascii="Arial" w:hAnsi="Arial" w:cs="Arial"/>
          <w:sz w:val="18"/>
          <w:szCs w:val="18"/>
          <w:lang w:val="en-US"/>
        </w:rPr>
        <w:t>H1</w:t>
      </w:r>
      <w:r w:rsidR="00337CED">
        <w:rPr>
          <w:rFonts w:ascii="Arial" w:hAnsi="Arial" w:cs="Arial"/>
          <w:sz w:val="18"/>
          <w:szCs w:val="18"/>
          <w:lang w:val="en-US"/>
        </w:rPr>
        <w:t xml:space="preserve"> </w:t>
      </w:r>
      <w:r>
        <w:rPr>
          <w:rFonts w:ascii="Arial" w:hAnsi="Arial" w:cs="Arial"/>
          <w:sz w:val="18"/>
          <w:szCs w:val="18"/>
          <w:lang w:val="en-US"/>
        </w:rPr>
        <w:t>201</w:t>
      </w:r>
      <w:r w:rsidR="00CD619E">
        <w:rPr>
          <w:rFonts w:ascii="Arial" w:hAnsi="Arial" w:cs="Arial"/>
          <w:sz w:val="18"/>
          <w:szCs w:val="18"/>
          <w:lang w:val="en-US"/>
        </w:rPr>
        <w:t>4</w:t>
      </w:r>
      <w:r>
        <w:rPr>
          <w:rFonts w:ascii="Arial" w:hAnsi="Arial" w:cs="Arial"/>
          <w:sz w:val="18"/>
          <w:szCs w:val="18"/>
          <w:lang w:val="en-US"/>
        </w:rPr>
        <w:t xml:space="preserve">. </w:t>
      </w:r>
    </w:p>
    <w:p w:rsidR="00847309" w:rsidRDefault="00847309" w:rsidP="00847309">
      <w:pPr>
        <w:jc w:val="both"/>
        <w:rPr>
          <w:rFonts w:ascii="Arial" w:hAnsi="Arial" w:cs="Arial"/>
          <w:sz w:val="18"/>
          <w:szCs w:val="18"/>
          <w:lang w:val="en-US"/>
        </w:rPr>
      </w:pPr>
    </w:p>
    <w:p w:rsidR="00847309" w:rsidRDefault="00847309" w:rsidP="00847309">
      <w:pPr>
        <w:jc w:val="both"/>
        <w:outlineLvl w:val="0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Ostrava Office Supply/Stock</w:t>
      </w:r>
    </w:p>
    <w:p w:rsidR="00847309" w:rsidRDefault="00847309" w:rsidP="00847309">
      <w:pPr>
        <w:jc w:val="both"/>
        <w:rPr>
          <w:rFonts w:ascii="Arial" w:hAnsi="Arial" w:cs="Arial"/>
          <w:b/>
          <w:bCs/>
          <w:sz w:val="18"/>
          <w:szCs w:val="18"/>
          <w:lang w:val="en-US"/>
        </w:rPr>
      </w:pPr>
    </w:p>
    <w:p w:rsidR="00847309" w:rsidRPr="00AC182E" w:rsidRDefault="00847309" w:rsidP="00847309">
      <w:pPr>
        <w:jc w:val="both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 xml:space="preserve">Total modern office stock in Ostrava exceeded </w:t>
      </w:r>
      <w:r w:rsidR="00AC182E" w:rsidRPr="00AC182E">
        <w:rPr>
          <w:rFonts w:ascii="Arial" w:hAnsi="Arial" w:cs="Arial"/>
          <w:sz w:val="18"/>
          <w:szCs w:val="18"/>
          <w:lang w:val="en-US"/>
        </w:rPr>
        <w:t>194,200</w:t>
      </w:r>
      <w:r w:rsidRPr="00AC182E">
        <w:rPr>
          <w:rFonts w:ascii="Arial" w:hAnsi="Arial" w:cs="Arial"/>
          <w:sz w:val="18"/>
          <w:szCs w:val="18"/>
          <w:lang w:val="en-US"/>
        </w:rPr>
        <w:t xml:space="preserve"> sq</w:t>
      </w:r>
      <w:r w:rsidR="00E2027F" w:rsidRPr="00AC182E">
        <w:rPr>
          <w:rFonts w:ascii="Arial" w:hAnsi="Arial" w:cs="Arial"/>
          <w:sz w:val="18"/>
          <w:szCs w:val="18"/>
          <w:lang w:val="en-US"/>
        </w:rPr>
        <w:t xml:space="preserve"> m </w:t>
      </w:r>
      <w:r w:rsidR="00454397" w:rsidRPr="00AC182E">
        <w:rPr>
          <w:rFonts w:ascii="Arial" w:hAnsi="Arial" w:cs="Arial"/>
          <w:sz w:val="18"/>
          <w:szCs w:val="18"/>
          <w:lang w:val="en-US"/>
        </w:rPr>
        <w:t>in</w:t>
      </w:r>
      <w:r w:rsidR="00454397">
        <w:rPr>
          <w:rFonts w:ascii="Arial" w:hAnsi="Arial" w:cs="Arial"/>
          <w:sz w:val="18"/>
          <w:szCs w:val="18"/>
          <w:lang w:val="en-US"/>
        </w:rPr>
        <w:t xml:space="preserve"> </w:t>
      </w:r>
      <w:r w:rsidR="00337CED">
        <w:rPr>
          <w:rFonts w:ascii="Arial" w:hAnsi="Arial" w:cs="Arial"/>
          <w:sz w:val="18"/>
          <w:szCs w:val="18"/>
          <w:lang w:val="en-US"/>
        </w:rPr>
        <w:t>t</w:t>
      </w:r>
      <w:r w:rsidR="00454397">
        <w:rPr>
          <w:rFonts w:ascii="Arial" w:hAnsi="Arial" w:cs="Arial"/>
          <w:sz w:val="18"/>
          <w:szCs w:val="18"/>
          <w:lang w:val="en-US"/>
        </w:rPr>
        <w:t xml:space="preserve">he </w:t>
      </w:r>
      <w:r w:rsidR="00CD619E">
        <w:rPr>
          <w:rFonts w:ascii="Arial" w:hAnsi="Arial" w:cs="Arial"/>
          <w:sz w:val="18"/>
          <w:szCs w:val="18"/>
          <w:lang w:val="en-US"/>
        </w:rPr>
        <w:t>first half of 2014</w:t>
      </w:r>
      <w:r>
        <w:rPr>
          <w:rFonts w:ascii="Arial" w:hAnsi="Arial" w:cs="Arial"/>
          <w:sz w:val="18"/>
          <w:szCs w:val="18"/>
          <w:lang w:val="en-US"/>
        </w:rPr>
        <w:t xml:space="preserve">. A class properties </w:t>
      </w:r>
      <w:r w:rsidRPr="00AC182E">
        <w:rPr>
          <w:rFonts w:ascii="Arial" w:hAnsi="Arial" w:cs="Arial"/>
          <w:sz w:val="18"/>
          <w:szCs w:val="18"/>
          <w:lang w:val="en-US"/>
        </w:rPr>
        <w:t xml:space="preserve">represent </w:t>
      </w:r>
      <w:r w:rsidR="00AC182E" w:rsidRPr="00AC182E">
        <w:rPr>
          <w:rFonts w:ascii="Arial" w:hAnsi="Arial" w:cs="Arial"/>
          <w:sz w:val="18"/>
          <w:szCs w:val="18"/>
          <w:lang w:val="en-US"/>
        </w:rPr>
        <w:t>73</w:t>
      </w:r>
      <w:r w:rsidRPr="00AC182E">
        <w:rPr>
          <w:rFonts w:ascii="Arial" w:hAnsi="Arial" w:cs="Arial"/>
          <w:sz w:val="18"/>
          <w:szCs w:val="18"/>
          <w:lang w:val="en-US"/>
        </w:rPr>
        <w:t xml:space="preserve">% of the modern stock and B class properties represent the remaining </w:t>
      </w:r>
      <w:r w:rsidR="00AC182E" w:rsidRPr="00AC182E">
        <w:rPr>
          <w:rFonts w:ascii="Arial" w:hAnsi="Arial" w:cs="Arial"/>
          <w:sz w:val="18"/>
          <w:szCs w:val="18"/>
          <w:lang w:val="en-US"/>
        </w:rPr>
        <w:t>27</w:t>
      </w:r>
      <w:r w:rsidRPr="00AC182E">
        <w:rPr>
          <w:rFonts w:ascii="Arial" w:hAnsi="Arial" w:cs="Arial"/>
          <w:sz w:val="18"/>
          <w:szCs w:val="18"/>
          <w:lang w:val="en-US"/>
        </w:rPr>
        <w:t>%.</w:t>
      </w:r>
    </w:p>
    <w:p w:rsidR="00847309" w:rsidRPr="009F6C7F" w:rsidRDefault="00847309" w:rsidP="00847309">
      <w:pPr>
        <w:jc w:val="both"/>
        <w:rPr>
          <w:rFonts w:ascii="Arial" w:hAnsi="Arial" w:cs="Arial"/>
          <w:sz w:val="18"/>
          <w:szCs w:val="18"/>
        </w:rPr>
      </w:pPr>
    </w:p>
    <w:p w:rsidR="00847309" w:rsidRPr="00AC182E" w:rsidRDefault="00847309" w:rsidP="00D562F1">
      <w:pPr>
        <w:jc w:val="both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</w:rPr>
        <w:t xml:space="preserve">During </w:t>
      </w:r>
      <w:r w:rsidR="000B78A2">
        <w:rPr>
          <w:rFonts w:ascii="Arial" w:hAnsi="Arial" w:cs="Arial"/>
          <w:sz w:val="18"/>
          <w:szCs w:val="18"/>
        </w:rPr>
        <w:t>H1 2014</w:t>
      </w:r>
      <w:r w:rsidRPr="009F6C7F">
        <w:rPr>
          <w:rFonts w:ascii="Arial" w:hAnsi="Arial" w:cs="Arial"/>
          <w:sz w:val="18"/>
          <w:szCs w:val="18"/>
        </w:rPr>
        <w:t xml:space="preserve"> </w:t>
      </w:r>
      <w:r w:rsidR="000B78A2">
        <w:rPr>
          <w:rFonts w:ascii="Arial" w:hAnsi="Arial" w:cs="Arial"/>
          <w:sz w:val="18"/>
          <w:szCs w:val="18"/>
        </w:rPr>
        <w:t>no new office buildings were completed or started construction.</w:t>
      </w:r>
      <w:r w:rsidR="0011537C">
        <w:rPr>
          <w:rFonts w:ascii="Arial" w:hAnsi="Arial" w:cs="Arial"/>
          <w:sz w:val="18"/>
          <w:szCs w:val="18"/>
        </w:rPr>
        <w:t xml:space="preserve"> </w:t>
      </w:r>
    </w:p>
    <w:p w:rsidR="00847309" w:rsidRDefault="00847309" w:rsidP="00847309">
      <w:pPr>
        <w:jc w:val="both"/>
        <w:rPr>
          <w:rFonts w:ascii="Arial" w:hAnsi="Arial" w:cs="Arial"/>
          <w:sz w:val="18"/>
          <w:szCs w:val="18"/>
          <w:lang w:val="en-US"/>
        </w:rPr>
      </w:pPr>
    </w:p>
    <w:p w:rsidR="00847309" w:rsidRDefault="00605893" w:rsidP="00847309">
      <w:pPr>
        <w:jc w:val="both"/>
        <w:outlineLvl w:val="0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 xml:space="preserve">Ostrava Office </w:t>
      </w:r>
      <w:r w:rsidR="00847309">
        <w:rPr>
          <w:rFonts w:ascii="Arial" w:hAnsi="Arial" w:cs="Arial"/>
          <w:b/>
          <w:bCs/>
          <w:lang w:val="en-US"/>
        </w:rPr>
        <w:t>Take-up</w:t>
      </w:r>
    </w:p>
    <w:p w:rsidR="00847309" w:rsidRDefault="00847309" w:rsidP="00847309">
      <w:pPr>
        <w:jc w:val="both"/>
        <w:rPr>
          <w:rFonts w:ascii="Arial" w:hAnsi="Arial" w:cs="Arial"/>
          <w:sz w:val="18"/>
          <w:szCs w:val="18"/>
          <w:lang w:val="en-US"/>
        </w:rPr>
      </w:pPr>
    </w:p>
    <w:p w:rsidR="00847309" w:rsidRPr="00AC182E" w:rsidRDefault="00847309" w:rsidP="00AC182E">
      <w:pPr>
        <w:jc w:val="both"/>
        <w:rPr>
          <w:rFonts w:ascii="Arial" w:hAnsi="Arial" w:cs="Arial"/>
          <w:sz w:val="18"/>
          <w:szCs w:val="18"/>
          <w:lang w:val="en-US" w:eastAsia="cs-CZ"/>
        </w:rPr>
      </w:pPr>
      <w:r w:rsidRPr="00AC182E">
        <w:rPr>
          <w:rFonts w:ascii="Arial" w:hAnsi="Arial" w:cs="Arial"/>
          <w:sz w:val="18"/>
          <w:szCs w:val="18"/>
          <w:lang w:val="en-US" w:eastAsia="cs-CZ"/>
        </w:rPr>
        <w:t xml:space="preserve">In </w:t>
      </w:r>
      <w:r w:rsidR="000B78A2">
        <w:rPr>
          <w:rFonts w:ascii="Arial" w:hAnsi="Arial" w:cs="Arial"/>
          <w:sz w:val="18"/>
          <w:szCs w:val="18"/>
          <w:lang w:val="en-US" w:eastAsia="cs-CZ"/>
        </w:rPr>
        <w:t>H1</w:t>
      </w:r>
      <w:r w:rsidR="00454397" w:rsidRPr="00AC182E">
        <w:rPr>
          <w:rFonts w:ascii="Arial" w:hAnsi="Arial" w:cs="Arial"/>
          <w:sz w:val="18"/>
          <w:szCs w:val="18"/>
          <w:lang w:val="en-US" w:eastAsia="cs-CZ"/>
        </w:rPr>
        <w:t xml:space="preserve"> </w:t>
      </w:r>
      <w:r w:rsidRPr="00AC182E">
        <w:rPr>
          <w:rFonts w:ascii="Arial" w:hAnsi="Arial" w:cs="Arial"/>
          <w:sz w:val="18"/>
          <w:szCs w:val="18"/>
          <w:lang w:val="en-US" w:eastAsia="cs-CZ"/>
        </w:rPr>
        <w:t>201</w:t>
      </w:r>
      <w:r w:rsidR="000B78A2">
        <w:rPr>
          <w:rFonts w:ascii="Arial" w:hAnsi="Arial" w:cs="Arial"/>
          <w:sz w:val="18"/>
          <w:szCs w:val="18"/>
          <w:lang w:val="en-US" w:eastAsia="cs-CZ"/>
        </w:rPr>
        <w:t>4</w:t>
      </w:r>
      <w:r w:rsidRPr="00AC182E">
        <w:rPr>
          <w:rFonts w:ascii="Arial" w:hAnsi="Arial" w:cs="Arial"/>
          <w:sz w:val="18"/>
          <w:szCs w:val="18"/>
          <w:lang w:val="en-US" w:eastAsia="cs-CZ"/>
        </w:rPr>
        <w:t xml:space="preserve">, </w:t>
      </w:r>
      <w:r w:rsidRPr="00AC182E">
        <w:rPr>
          <w:rFonts w:ascii="Arial" w:hAnsi="Arial" w:cs="Arial"/>
          <w:sz w:val="18"/>
          <w:szCs w:val="18"/>
          <w:lang w:eastAsia="cs-CZ"/>
        </w:rPr>
        <w:t xml:space="preserve">gross take-up (including renegotiations) reached </w:t>
      </w:r>
      <w:r w:rsidR="00AC182E" w:rsidRPr="00AC182E">
        <w:rPr>
          <w:rFonts w:ascii="Arial" w:hAnsi="Arial" w:cs="Arial"/>
          <w:sz w:val="18"/>
          <w:szCs w:val="18"/>
          <w:lang w:eastAsia="cs-CZ"/>
        </w:rPr>
        <w:t xml:space="preserve">almost </w:t>
      </w:r>
      <w:r w:rsidR="002874E1">
        <w:rPr>
          <w:rFonts w:ascii="Arial" w:hAnsi="Arial" w:cs="Arial"/>
          <w:sz w:val="18"/>
          <w:szCs w:val="18"/>
          <w:lang w:eastAsia="cs-CZ"/>
        </w:rPr>
        <w:t>8</w:t>
      </w:r>
      <w:r w:rsidR="00AC182E" w:rsidRPr="00AC182E">
        <w:rPr>
          <w:rFonts w:ascii="Arial" w:hAnsi="Arial" w:cs="Arial"/>
          <w:sz w:val="18"/>
          <w:szCs w:val="18"/>
          <w:lang w:eastAsia="cs-CZ"/>
        </w:rPr>
        <w:t>,</w:t>
      </w:r>
      <w:r w:rsidR="002874E1">
        <w:rPr>
          <w:rFonts w:ascii="Arial" w:hAnsi="Arial" w:cs="Arial"/>
          <w:sz w:val="18"/>
          <w:szCs w:val="18"/>
          <w:lang w:eastAsia="cs-CZ"/>
        </w:rPr>
        <w:t>1</w:t>
      </w:r>
      <w:r w:rsidR="00605893" w:rsidRPr="00AC182E">
        <w:rPr>
          <w:rFonts w:ascii="Arial" w:hAnsi="Arial" w:cs="Arial"/>
          <w:sz w:val="18"/>
          <w:szCs w:val="18"/>
          <w:lang w:eastAsia="cs-CZ"/>
        </w:rPr>
        <w:t>00</w:t>
      </w:r>
      <w:r w:rsidRPr="00AC182E">
        <w:rPr>
          <w:rFonts w:ascii="Arial" w:hAnsi="Arial" w:cs="Arial"/>
          <w:sz w:val="18"/>
          <w:szCs w:val="18"/>
          <w:lang w:eastAsia="cs-CZ"/>
        </w:rPr>
        <w:t xml:space="preserve"> </w:t>
      </w:r>
      <w:r w:rsidRPr="00AC182E">
        <w:rPr>
          <w:rFonts w:ascii="Arial" w:hAnsi="Arial" w:cs="Arial"/>
          <w:sz w:val="18"/>
          <w:szCs w:val="18"/>
          <w:lang w:val="en-US" w:eastAsia="cs-CZ"/>
        </w:rPr>
        <w:t xml:space="preserve">sq m. </w:t>
      </w:r>
      <w:r w:rsidR="00E2027F" w:rsidRPr="00AC182E">
        <w:rPr>
          <w:rFonts w:ascii="Arial" w:hAnsi="Arial" w:cs="Arial"/>
          <w:sz w:val="18"/>
          <w:szCs w:val="18"/>
          <w:lang w:val="en-US" w:eastAsia="cs-CZ"/>
        </w:rPr>
        <w:t>N</w:t>
      </w:r>
      <w:r w:rsidRPr="00AC182E">
        <w:rPr>
          <w:rFonts w:ascii="Arial" w:hAnsi="Arial" w:cs="Arial"/>
          <w:sz w:val="18"/>
          <w:szCs w:val="18"/>
          <w:lang w:val="en-US" w:eastAsia="cs-CZ"/>
        </w:rPr>
        <w:t>otable deals were</w:t>
      </w:r>
      <w:r w:rsidR="002874E1">
        <w:rPr>
          <w:rFonts w:ascii="Arial" w:hAnsi="Arial" w:cs="Arial"/>
          <w:sz w:val="18"/>
          <w:szCs w:val="18"/>
          <w:lang w:val="en-US" w:eastAsia="cs-CZ"/>
        </w:rPr>
        <w:t xml:space="preserve"> the</w:t>
      </w:r>
      <w:r w:rsidRPr="00AC182E">
        <w:rPr>
          <w:rFonts w:ascii="Arial" w:hAnsi="Arial" w:cs="Arial"/>
          <w:sz w:val="18"/>
          <w:szCs w:val="18"/>
          <w:lang w:val="en-US" w:eastAsia="cs-CZ"/>
        </w:rPr>
        <w:t xml:space="preserve"> </w:t>
      </w:r>
      <w:r w:rsidR="00766592">
        <w:rPr>
          <w:rFonts w:ascii="Arial" w:hAnsi="Arial" w:cs="Arial"/>
          <w:sz w:val="18"/>
          <w:szCs w:val="18"/>
          <w:lang w:val="en-US" w:eastAsia="cs-CZ"/>
        </w:rPr>
        <w:t>new lease</w:t>
      </w:r>
      <w:r w:rsidR="000452AD">
        <w:rPr>
          <w:rFonts w:ascii="Arial" w:hAnsi="Arial" w:cs="Arial"/>
          <w:sz w:val="18"/>
          <w:szCs w:val="18"/>
          <w:lang w:val="en-US" w:eastAsia="cs-CZ"/>
        </w:rPr>
        <w:t>s</w:t>
      </w:r>
      <w:r w:rsidR="00766592">
        <w:rPr>
          <w:rFonts w:ascii="Arial" w:hAnsi="Arial" w:cs="Arial"/>
          <w:sz w:val="18"/>
          <w:szCs w:val="18"/>
          <w:lang w:val="en-US" w:eastAsia="cs-CZ"/>
        </w:rPr>
        <w:t xml:space="preserve"> of </w:t>
      </w:r>
      <w:r w:rsidR="002874E1">
        <w:rPr>
          <w:rFonts w:ascii="Arial" w:hAnsi="Arial" w:cs="Arial"/>
          <w:sz w:val="18"/>
          <w:szCs w:val="18"/>
          <w:lang w:val="en-US" w:eastAsia="cs-CZ"/>
        </w:rPr>
        <w:t>ABB (3,000 sq m), AXA Assistance (2,000 sq m) and UniCredit Bank and Leasing (1,000 sq m)</w:t>
      </w:r>
      <w:r w:rsidR="000452AD">
        <w:rPr>
          <w:rFonts w:ascii="Arial" w:hAnsi="Arial" w:cs="Arial"/>
          <w:sz w:val="18"/>
          <w:szCs w:val="18"/>
          <w:lang w:val="en-US" w:eastAsia="cs-CZ"/>
        </w:rPr>
        <w:t xml:space="preserve"> </w:t>
      </w:r>
      <w:r w:rsidR="002874E1">
        <w:rPr>
          <w:rFonts w:ascii="Arial" w:hAnsi="Arial" w:cs="Arial"/>
          <w:sz w:val="18"/>
          <w:szCs w:val="18"/>
          <w:lang w:val="en-US" w:eastAsia="cs-CZ"/>
        </w:rPr>
        <w:t xml:space="preserve"> in Nova Karolina Park.</w:t>
      </w:r>
    </w:p>
    <w:p w:rsidR="00AC182E" w:rsidRDefault="00AC182E" w:rsidP="00AC182E">
      <w:pPr>
        <w:jc w:val="both"/>
        <w:rPr>
          <w:rFonts w:ascii="Arial" w:hAnsi="Arial" w:cs="Arial"/>
          <w:b/>
          <w:bCs/>
          <w:sz w:val="18"/>
          <w:szCs w:val="18"/>
          <w:lang w:val="en-US"/>
        </w:rPr>
      </w:pPr>
    </w:p>
    <w:p w:rsidR="00847309" w:rsidRDefault="00847309" w:rsidP="00847309">
      <w:pPr>
        <w:jc w:val="both"/>
        <w:outlineLvl w:val="0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Vacancy</w:t>
      </w:r>
    </w:p>
    <w:p w:rsidR="00847309" w:rsidRDefault="00847309" w:rsidP="00847309">
      <w:pPr>
        <w:jc w:val="both"/>
        <w:outlineLvl w:val="0"/>
        <w:rPr>
          <w:rFonts w:ascii="Arial" w:hAnsi="Arial" w:cs="Arial"/>
          <w:bCs/>
          <w:sz w:val="18"/>
          <w:szCs w:val="18"/>
          <w:lang w:val="en-US"/>
        </w:rPr>
      </w:pPr>
    </w:p>
    <w:p w:rsidR="00847309" w:rsidRPr="00AC182E" w:rsidRDefault="00847309" w:rsidP="00BA0035">
      <w:pPr>
        <w:jc w:val="both"/>
        <w:outlineLvl w:val="0"/>
        <w:rPr>
          <w:rFonts w:ascii="Arial" w:hAnsi="Arial" w:cs="Arial"/>
          <w:bCs/>
          <w:sz w:val="18"/>
          <w:szCs w:val="18"/>
          <w:lang w:val="en-US"/>
        </w:rPr>
      </w:pPr>
      <w:r>
        <w:rPr>
          <w:rFonts w:ascii="Arial" w:hAnsi="Arial" w:cs="Arial"/>
          <w:bCs/>
          <w:sz w:val="18"/>
          <w:szCs w:val="18"/>
          <w:lang w:val="en-US"/>
        </w:rPr>
        <w:t xml:space="preserve">A total </w:t>
      </w:r>
      <w:r w:rsidRPr="00AC182E">
        <w:rPr>
          <w:rFonts w:ascii="Arial" w:hAnsi="Arial" w:cs="Arial"/>
          <w:bCs/>
          <w:sz w:val="18"/>
          <w:szCs w:val="18"/>
          <w:lang w:val="en-US"/>
        </w:rPr>
        <w:t xml:space="preserve">of </w:t>
      </w:r>
      <w:r w:rsidR="002874E1">
        <w:rPr>
          <w:rFonts w:ascii="Arial" w:hAnsi="Arial" w:cs="Arial"/>
          <w:bCs/>
          <w:sz w:val="18"/>
          <w:szCs w:val="18"/>
          <w:lang w:val="en-US"/>
        </w:rPr>
        <w:t>43</w:t>
      </w:r>
      <w:r w:rsidR="00AC182E" w:rsidRPr="00AC182E">
        <w:rPr>
          <w:rFonts w:ascii="Arial" w:hAnsi="Arial" w:cs="Arial"/>
          <w:bCs/>
          <w:sz w:val="18"/>
          <w:szCs w:val="18"/>
          <w:lang w:val="en-US"/>
        </w:rPr>
        <w:t>,</w:t>
      </w:r>
      <w:r w:rsidR="00C273A9">
        <w:rPr>
          <w:rFonts w:ascii="Arial" w:hAnsi="Arial" w:cs="Arial"/>
          <w:bCs/>
          <w:sz w:val="18"/>
          <w:szCs w:val="18"/>
          <w:lang w:val="en-US"/>
        </w:rPr>
        <w:t>8</w:t>
      </w:r>
      <w:r w:rsidR="00BA0035" w:rsidRPr="00AC182E">
        <w:rPr>
          <w:rFonts w:ascii="Arial" w:hAnsi="Arial" w:cs="Arial"/>
          <w:bCs/>
          <w:sz w:val="18"/>
          <w:szCs w:val="18"/>
          <w:lang w:val="en-US"/>
        </w:rPr>
        <w:t>00</w:t>
      </w:r>
      <w:r w:rsidRPr="00AC182E">
        <w:rPr>
          <w:rFonts w:ascii="Arial" w:hAnsi="Arial" w:cs="Arial"/>
          <w:bCs/>
          <w:sz w:val="18"/>
          <w:szCs w:val="18"/>
          <w:lang w:val="en-US"/>
        </w:rPr>
        <w:t xml:space="preserve"> sq m of modern</w:t>
      </w:r>
      <w:r>
        <w:rPr>
          <w:rFonts w:ascii="Arial" w:hAnsi="Arial" w:cs="Arial"/>
          <w:bCs/>
          <w:sz w:val="18"/>
          <w:szCs w:val="18"/>
          <w:lang w:val="en-US"/>
        </w:rPr>
        <w:t xml:space="preserve"> office space was vacant </w:t>
      </w:r>
      <w:r w:rsidR="00446079">
        <w:rPr>
          <w:rFonts w:ascii="Arial" w:hAnsi="Arial" w:cs="Arial"/>
          <w:bCs/>
          <w:sz w:val="18"/>
          <w:szCs w:val="18"/>
          <w:lang w:val="en-US"/>
        </w:rPr>
        <w:t>at</w:t>
      </w:r>
      <w:r>
        <w:rPr>
          <w:rFonts w:ascii="Arial" w:hAnsi="Arial" w:cs="Arial"/>
          <w:bCs/>
          <w:sz w:val="18"/>
          <w:szCs w:val="18"/>
          <w:lang w:val="en-US"/>
        </w:rPr>
        <w:t xml:space="preserve"> the end of </w:t>
      </w:r>
      <w:r w:rsidR="00454397">
        <w:rPr>
          <w:rFonts w:ascii="Arial" w:hAnsi="Arial" w:cs="Arial"/>
          <w:bCs/>
          <w:sz w:val="18"/>
          <w:szCs w:val="18"/>
          <w:lang w:val="en-US"/>
        </w:rPr>
        <w:t>H</w:t>
      </w:r>
      <w:r w:rsidR="002874E1">
        <w:rPr>
          <w:rFonts w:ascii="Arial" w:hAnsi="Arial" w:cs="Arial"/>
          <w:bCs/>
          <w:sz w:val="18"/>
          <w:szCs w:val="18"/>
          <w:lang w:val="en-US"/>
        </w:rPr>
        <w:t>1 2014</w:t>
      </w:r>
      <w:r w:rsidR="00BA0035">
        <w:rPr>
          <w:rFonts w:ascii="Arial" w:hAnsi="Arial" w:cs="Arial"/>
          <w:bCs/>
          <w:sz w:val="18"/>
          <w:szCs w:val="18"/>
          <w:lang w:val="en-US"/>
        </w:rPr>
        <w:t xml:space="preserve">. </w:t>
      </w:r>
      <w:r w:rsidR="00AC182E" w:rsidRPr="00AC182E">
        <w:rPr>
          <w:rFonts w:ascii="Arial" w:hAnsi="Arial" w:cs="Arial"/>
          <w:bCs/>
          <w:sz w:val="18"/>
          <w:szCs w:val="18"/>
          <w:lang w:val="en-US"/>
        </w:rPr>
        <w:t>The vacancy rate stood at 2</w:t>
      </w:r>
      <w:r w:rsidR="002874E1">
        <w:rPr>
          <w:rFonts w:ascii="Arial" w:hAnsi="Arial" w:cs="Arial"/>
          <w:bCs/>
          <w:sz w:val="18"/>
          <w:szCs w:val="18"/>
          <w:lang w:val="en-US"/>
        </w:rPr>
        <w:t>2</w:t>
      </w:r>
      <w:r w:rsidR="00AC182E" w:rsidRPr="00AC182E">
        <w:rPr>
          <w:rFonts w:ascii="Arial" w:hAnsi="Arial" w:cs="Arial"/>
          <w:bCs/>
          <w:sz w:val="18"/>
          <w:szCs w:val="18"/>
          <w:lang w:val="en-US"/>
        </w:rPr>
        <w:t>.</w:t>
      </w:r>
      <w:r w:rsidR="00140F64">
        <w:rPr>
          <w:rFonts w:ascii="Arial" w:hAnsi="Arial" w:cs="Arial"/>
          <w:bCs/>
          <w:sz w:val="18"/>
          <w:szCs w:val="18"/>
          <w:lang w:val="en-US"/>
        </w:rPr>
        <w:t>5%, representing a</w:t>
      </w:r>
      <w:r w:rsidRPr="00AC182E">
        <w:rPr>
          <w:rFonts w:ascii="Arial" w:hAnsi="Arial" w:cs="Arial"/>
          <w:bCs/>
          <w:sz w:val="18"/>
          <w:szCs w:val="18"/>
          <w:lang w:val="en-US"/>
        </w:rPr>
        <w:t xml:space="preserve"> </w:t>
      </w:r>
      <w:r w:rsidR="00140F64">
        <w:rPr>
          <w:rFonts w:ascii="Arial" w:hAnsi="Arial" w:cs="Arial"/>
          <w:bCs/>
          <w:sz w:val="18"/>
          <w:szCs w:val="18"/>
          <w:lang w:val="en-US"/>
        </w:rPr>
        <w:t>de</w:t>
      </w:r>
      <w:r w:rsidRPr="00AC182E">
        <w:rPr>
          <w:rFonts w:ascii="Arial" w:hAnsi="Arial" w:cs="Arial"/>
          <w:bCs/>
          <w:sz w:val="18"/>
          <w:szCs w:val="18"/>
          <w:lang w:val="en-US"/>
        </w:rPr>
        <w:t xml:space="preserve">crease </w:t>
      </w:r>
      <w:r w:rsidR="00446079" w:rsidRPr="00AC182E">
        <w:rPr>
          <w:rFonts w:ascii="Arial" w:hAnsi="Arial" w:cs="Arial"/>
          <w:bCs/>
          <w:sz w:val="18"/>
          <w:szCs w:val="18"/>
          <w:lang w:val="en-US"/>
        </w:rPr>
        <w:t>of</w:t>
      </w:r>
      <w:r w:rsidRPr="00AC182E">
        <w:rPr>
          <w:rFonts w:ascii="Arial" w:hAnsi="Arial" w:cs="Arial"/>
          <w:bCs/>
          <w:sz w:val="18"/>
          <w:szCs w:val="18"/>
          <w:lang w:val="en-US"/>
        </w:rPr>
        <w:t xml:space="preserve"> </w:t>
      </w:r>
      <w:r w:rsidR="002874E1">
        <w:rPr>
          <w:rFonts w:ascii="Arial" w:hAnsi="Arial" w:cs="Arial"/>
          <w:bCs/>
          <w:sz w:val="18"/>
          <w:szCs w:val="18"/>
          <w:lang w:val="en-US"/>
        </w:rPr>
        <w:t>30</w:t>
      </w:r>
      <w:r w:rsidR="00B14B88" w:rsidRPr="00AC182E">
        <w:rPr>
          <w:rFonts w:ascii="Arial" w:hAnsi="Arial" w:cs="Arial"/>
          <w:bCs/>
          <w:sz w:val="18"/>
          <w:szCs w:val="18"/>
          <w:lang w:val="en-US"/>
        </w:rPr>
        <w:t>0</w:t>
      </w:r>
      <w:r w:rsidRPr="00AC182E">
        <w:rPr>
          <w:rFonts w:ascii="Arial" w:hAnsi="Arial" w:cs="Arial"/>
          <w:bCs/>
          <w:sz w:val="18"/>
          <w:szCs w:val="18"/>
          <w:lang w:val="en-US"/>
        </w:rPr>
        <w:t xml:space="preserve"> basis points compared to </w:t>
      </w:r>
      <w:r w:rsidR="002874E1">
        <w:rPr>
          <w:rFonts w:ascii="Arial" w:hAnsi="Arial" w:cs="Arial"/>
          <w:bCs/>
          <w:sz w:val="18"/>
          <w:szCs w:val="18"/>
          <w:lang w:val="en-US"/>
        </w:rPr>
        <w:t>H2</w:t>
      </w:r>
      <w:r w:rsidR="00140F64" w:rsidRPr="00AE3B43">
        <w:rPr>
          <w:rFonts w:ascii="Arial" w:hAnsi="Arial" w:cs="Arial"/>
          <w:bCs/>
          <w:sz w:val="18"/>
          <w:szCs w:val="18"/>
          <w:lang w:val="en-US"/>
        </w:rPr>
        <w:t xml:space="preserve"> 2013</w:t>
      </w:r>
      <w:r w:rsidRPr="00AE3B43">
        <w:rPr>
          <w:rFonts w:ascii="Arial" w:hAnsi="Arial" w:cs="Arial"/>
          <w:bCs/>
          <w:sz w:val="18"/>
          <w:szCs w:val="18"/>
          <w:lang w:val="en-US"/>
        </w:rPr>
        <w:t>.</w:t>
      </w:r>
    </w:p>
    <w:p w:rsidR="00847309" w:rsidRPr="00454397" w:rsidRDefault="00847309" w:rsidP="00847309">
      <w:pPr>
        <w:jc w:val="both"/>
        <w:outlineLvl w:val="0"/>
        <w:rPr>
          <w:rFonts w:ascii="Arial" w:hAnsi="Arial" w:cs="Arial"/>
          <w:bCs/>
          <w:color w:val="FF0000"/>
          <w:sz w:val="18"/>
          <w:szCs w:val="18"/>
          <w:lang w:val="en-US"/>
        </w:rPr>
      </w:pPr>
    </w:p>
    <w:p w:rsidR="00847309" w:rsidRDefault="00847309" w:rsidP="00847309">
      <w:pPr>
        <w:jc w:val="both"/>
        <w:outlineLvl w:val="0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Rents</w:t>
      </w:r>
    </w:p>
    <w:p w:rsidR="00847309" w:rsidRPr="00387193" w:rsidRDefault="00847309" w:rsidP="00847309">
      <w:pPr>
        <w:jc w:val="both"/>
        <w:outlineLvl w:val="0"/>
        <w:rPr>
          <w:rFonts w:ascii="Arial" w:hAnsi="Arial" w:cs="Arial"/>
          <w:sz w:val="18"/>
          <w:szCs w:val="18"/>
          <w:lang w:val="en-US"/>
        </w:rPr>
      </w:pPr>
    </w:p>
    <w:p w:rsidR="00847309" w:rsidRPr="002874E1" w:rsidRDefault="00454397" w:rsidP="005B05E9">
      <w:pPr>
        <w:rPr>
          <w:rFonts w:ascii="Arial" w:hAnsi="Arial" w:cs="Arial"/>
          <w:bCs/>
          <w:color w:val="FF0000"/>
          <w:sz w:val="18"/>
          <w:szCs w:val="18"/>
          <w:lang w:val="en-US"/>
        </w:rPr>
      </w:pPr>
      <w:r>
        <w:rPr>
          <w:rFonts w:ascii="Arial" w:hAnsi="Arial" w:cs="Arial"/>
          <w:bCs/>
          <w:sz w:val="18"/>
          <w:szCs w:val="18"/>
          <w:lang w:val="en-US"/>
        </w:rPr>
        <w:t xml:space="preserve">In </w:t>
      </w:r>
      <w:r w:rsidRPr="00AE3B43">
        <w:rPr>
          <w:rFonts w:ascii="Arial" w:hAnsi="Arial" w:cs="Arial"/>
          <w:bCs/>
          <w:sz w:val="18"/>
          <w:szCs w:val="18"/>
          <w:lang w:val="en-US"/>
        </w:rPr>
        <w:t>H</w:t>
      </w:r>
      <w:r w:rsidR="002874E1">
        <w:rPr>
          <w:rFonts w:ascii="Arial" w:hAnsi="Arial" w:cs="Arial"/>
          <w:bCs/>
          <w:sz w:val="18"/>
          <w:szCs w:val="18"/>
          <w:lang w:val="en-US"/>
        </w:rPr>
        <w:t>1 2014</w:t>
      </w:r>
      <w:r w:rsidR="00847309" w:rsidRPr="002731B2">
        <w:rPr>
          <w:rFonts w:ascii="Arial" w:hAnsi="Arial" w:cs="Arial"/>
          <w:bCs/>
          <w:sz w:val="18"/>
          <w:szCs w:val="18"/>
          <w:lang w:val="en-US"/>
        </w:rPr>
        <w:t>, prime</w:t>
      </w:r>
      <w:r w:rsidR="00847309">
        <w:rPr>
          <w:rFonts w:ascii="Arial" w:hAnsi="Arial" w:cs="Arial"/>
          <w:bCs/>
          <w:sz w:val="18"/>
          <w:szCs w:val="18"/>
          <w:lang w:val="en-US"/>
        </w:rPr>
        <w:t xml:space="preserve"> headline rents in </w:t>
      </w:r>
      <w:r w:rsidR="00446079">
        <w:rPr>
          <w:rFonts w:ascii="Arial" w:hAnsi="Arial" w:cs="Arial"/>
          <w:bCs/>
          <w:sz w:val="18"/>
          <w:szCs w:val="18"/>
          <w:lang w:val="en-US"/>
        </w:rPr>
        <w:t xml:space="preserve">the </w:t>
      </w:r>
      <w:r w:rsidR="008B1275">
        <w:rPr>
          <w:rFonts w:ascii="Arial" w:hAnsi="Arial" w:cs="Arial"/>
          <w:bCs/>
          <w:sz w:val="18"/>
          <w:szCs w:val="18"/>
          <w:lang w:val="en-US"/>
        </w:rPr>
        <w:t>Ostrava</w:t>
      </w:r>
      <w:r w:rsidR="00847309">
        <w:rPr>
          <w:rFonts w:ascii="Arial" w:hAnsi="Arial" w:cs="Arial"/>
          <w:bCs/>
          <w:sz w:val="18"/>
          <w:szCs w:val="18"/>
          <w:lang w:val="en-US"/>
        </w:rPr>
        <w:t xml:space="preserve"> office market </w:t>
      </w:r>
      <w:r w:rsidR="006D07ED">
        <w:rPr>
          <w:rFonts w:ascii="Arial" w:hAnsi="Arial" w:cs="Arial"/>
          <w:bCs/>
          <w:sz w:val="18"/>
          <w:szCs w:val="18"/>
          <w:lang w:val="en-US"/>
        </w:rPr>
        <w:t>decreased to</w:t>
      </w:r>
      <w:r w:rsidR="006D07ED" w:rsidRPr="006D07ED">
        <w:rPr>
          <w:rFonts w:ascii="Arial" w:hAnsi="Arial" w:cs="Arial"/>
          <w:bCs/>
          <w:sz w:val="18"/>
          <w:szCs w:val="18"/>
          <w:lang w:val="en-US"/>
        </w:rPr>
        <w:t xml:space="preserve"> </w:t>
      </w:r>
      <w:r w:rsidR="00AC6952" w:rsidRPr="006D07ED">
        <w:rPr>
          <w:rFonts w:ascii="Arial" w:hAnsi="Arial" w:cs="Arial"/>
          <w:bCs/>
          <w:sz w:val="18"/>
          <w:szCs w:val="18"/>
          <w:lang w:val="en-US"/>
        </w:rPr>
        <w:t>1</w:t>
      </w:r>
      <w:r w:rsidR="006D07ED" w:rsidRPr="006D07ED">
        <w:rPr>
          <w:rFonts w:ascii="Arial" w:hAnsi="Arial" w:cs="Arial"/>
          <w:bCs/>
          <w:sz w:val="18"/>
          <w:szCs w:val="18"/>
          <w:lang w:val="en-US"/>
        </w:rPr>
        <w:t>1</w:t>
      </w:r>
      <w:r w:rsidR="005B05E9" w:rsidRPr="006D07ED">
        <w:rPr>
          <w:rFonts w:ascii="Arial" w:hAnsi="Arial" w:cs="Arial"/>
          <w:bCs/>
          <w:sz w:val="18"/>
          <w:szCs w:val="18"/>
          <w:lang w:val="en-US"/>
        </w:rPr>
        <w:t>.5</w:t>
      </w:r>
      <w:r w:rsidR="000423D9">
        <w:rPr>
          <w:rFonts w:ascii="Arial" w:hAnsi="Arial" w:cs="Arial"/>
          <w:bCs/>
          <w:sz w:val="18"/>
          <w:szCs w:val="18"/>
          <w:lang w:val="en-US"/>
        </w:rPr>
        <w:t>0</w:t>
      </w:r>
      <w:r w:rsidR="005B05E9" w:rsidRPr="006D07ED">
        <w:rPr>
          <w:rFonts w:ascii="Arial" w:hAnsi="Arial" w:cs="Arial"/>
          <w:bCs/>
          <w:sz w:val="18"/>
          <w:szCs w:val="18"/>
          <w:lang w:val="en-US"/>
        </w:rPr>
        <w:t xml:space="preserve"> </w:t>
      </w:r>
      <w:r w:rsidR="00847309" w:rsidRPr="006D07ED">
        <w:rPr>
          <w:rFonts w:ascii="Arial" w:hAnsi="Arial" w:cs="Arial"/>
          <w:bCs/>
          <w:sz w:val="18"/>
          <w:szCs w:val="18"/>
          <w:lang w:val="en-US"/>
        </w:rPr>
        <w:t>EUR/ sq m/ month.</w:t>
      </w:r>
    </w:p>
    <w:p w:rsidR="00B53F4A" w:rsidRDefault="00B53F4A" w:rsidP="00847309">
      <w:pPr>
        <w:outlineLvl w:val="0"/>
        <w:rPr>
          <w:rFonts w:ascii="Arial" w:hAnsi="Arial" w:cs="Arial"/>
          <w:b/>
          <w:noProof/>
          <w:lang w:val="en-US"/>
        </w:rPr>
      </w:pPr>
    </w:p>
    <w:p w:rsidR="00B90303" w:rsidRDefault="00B90303" w:rsidP="00710C2A">
      <w:pPr>
        <w:jc w:val="center"/>
        <w:outlineLvl w:val="0"/>
        <w:rPr>
          <w:rFonts w:ascii="Arial" w:hAnsi="Arial" w:cs="Arial"/>
          <w:b/>
          <w:noProof/>
          <w:lang w:val="en-US"/>
        </w:rPr>
      </w:pPr>
    </w:p>
    <w:p w:rsidR="00BA0035" w:rsidRDefault="00BA0035" w:rsidP="00B53F4A">
      <w:pPr>
        <w:outlineLvl w:val="0"/>
        <w:rPr>
          <w:rFonts w:ascii="Arial" w:hAnsi="Arial" w:cs="Arial"/>
          <w:b/>
          <w:noProof/>
          <w:lang w:val="en-US"/>
        </w:rPr>
      </w:pPr>
    </w:p>
    <w:p w:rsidR="00904FB2" w:rsidRDefault="00904FB2" w:rsidP="00D45D38">
      <w:pPr>
        <w:jc w:val="center"/>
        <w:rPr>
          <w:rFonts w:ascii="Arial" w:hAnsi="Arial" w:cs="Arial"/>
          <w:b/>
          <w:bCs/>
          <w:noProof/>
          <w:color w:val="000000"/>
          <w:sz w:val="18"/>
          <w:szCs w:val="18"/>
          <w:lang w:val="en-US"/>
        </w:rPr>
      </w:pPr>
    </w:p>
    <w:p w:rsidR="00904FB2" w:rsidRDefault="00904FB2" w:rsidP="00D45D38">
      <w:pPr>
        <w:jc w:val="center"/>
        <w:rPr>
          <w:rFonts w:ascii="Arial" w:hAnsi="Arial" w:cs="Arial"/>
          <w:b/>
          <w:bCs/>
          <w:noProof/>
          <w:color w:val="000000"/>
          <w:sz w:val="18"/>
          <w:szCs w:val="18"/>
          <w:lang w:val="en-US"/>
        </w:rPr>
      </w:pPr>
    </w:p>
    <w:p w:rsidR="00B53F4A" w:rsidRDefault="00B53F4A" w:rsidP="00D45D38">
      <w:pPr>
        <w:jc w:val="center"/>
        <w:rPr>
          <w:rFonts w:ascii="Arial" w:hAnsi="Arial" w:cs="Arial"/>
          <w:b/>
          <w:bCs/>
          <w:noProof/>
          <w:color w:val="000000"/>
          <w:sz w:val="18"/>
          <w:szCs w:val="18"/>
          <w:lang w:val="en-US"/>
        </w:rPr>
      </w:pPr>
    </w:p>
    <w:p w:rsidR="00B53F4A" w:rsidRDefault="00B53F4A" w:rsidP="00D45D38">
      <w:pPr>
        <w:jc w:val="center"/>
        <w:rPr>
          <w:rFonts w:ascii="Arial" w:hAnsi="Arial" w:cs="Arial"/>
          <w:b/>
          <w:bCs/>
          <w:noProof/>
          <w:color w:val="000000"/>
          <w:sz w:val="18"/>
          <w:szCs w:val="18"/>
          <w:lang w:val="en-US"/>
        </w:rPr>
      </w:pPr>
    </w:p>
    <w:p w:rsidR="00AC6952" w:rsidRDefault="00AC6952" w:rsidP="00D45D38">
      <w:pPr>
        <w:jc w:val="center"/>
        <w:rPr>
          <w:rFonts w:ascii="Arial" w:hAnsi="Arial" w:cs="Arial"/>
          <w:b/>
          <w:bCs/>
          <w:noProof/>
          <w:color w:val="000000"/>
          <w:sz w:val="18"/>
          <w:szCs w:val="18"/>
          <w:lang w:val="en-US"/>
        </w:rPr>
      </w:pPr>
    </w:p>
    <w:p w:rsidR="00AC6952" w:rsidRDefault="00AC6952" w:rsidP="00D45D38">
      <w:pPr>
        <w:jc w:val="center"/>
        <w:rPr>
          <w:rFonts w:ascii="Arial" w:hAnsi="Arial" w:cs="Arial"/>
          <w:b/>
          <w:bCs/>
          <w:noProof/>
          <w:color w:val="000000"/>
          <w:sz w:val="18"/>
          <w:szCs w:val="18"/>
          <w:lang w:val="en-US"/>
        </w:rPr>
      </w:pPr>
    </w:p>
    <w:p w:rsidR="00AC6952" w:rsidRDefault="00AC6952" w:rsidP="00D45D38">
      <w:pPr>
        <w:jc w:val="center"/>
        <w:rPr>
          <w:rFonts w:ascii="Arial" w:hAnsi="Arial" w:cs="Arial"/>
          <w:b/>
          <w:bCs/>
          <w:noProof/>
          <w:color w:val="000000"/>
          <w:sz w:val="18"/>
          <w:szCs w:val="18"/>
          <w:lang w:val="en-US"/>
        </w:rPr>
      </w:pPr>
    </w:p>
    <w:p w:rsidR="009A6382" w:rsidRDefault="00CA0BBC" w:rsidP="009A6382">
      <w:pPr>
        <w:outlineLvl w:val="0"/>
        <w:rPr>
          <w:rFonts w:ascii="Arial" w:hAnsi="Arial" w:cs="Arial"/>
          <w:b/>
          <w:noProof/>
          <w:sz w:val="18"/>
          <w:szCs w:val="18"/>
          <w:lang w:val="en-US"/>
        </w:rPr>
      </w:pPr>
      <w:r>
        <w:rPr>
          <w:rFonts w:ascii="Arial" w:hAnsi="Arial" w:cs="Arial"/>
          <w:b/>
          <w:noProof/>
          <w:sz w:val="18"/>
          <w:szCs w:val="18"/>
          <w:lang w:val="en-US"/>
        </w:rPr>
        <w:t>D</w:t>
      </w:r>
      <w:r w:rsidR="009A6382">
        <w:rPr>
          <w:rFonts w:ascii="Arial" w:hAnsi="Arial" w:cs="Arial"/>
          <w:b/>
          <w:noProof/>
          <w:sz w:val="18"/>
          <w:szCs w:val="18"/>
          <w:lang w:val="en-US"/>
        </w:rPr>
        <w:t>efinitions</w:t>
      </w:r>
    </w:p>
    <w:p w:rsidR="009A6382" w:rsidRDefault="009A6382" w:rsidP="009A6382">
      <w:pPr>
        <w:spacing w:before="120"/>
        <w:jc w:val="both"/>
        <w:outlineLvl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noProof/>
          <w:sz w:val="18"/>
          <w:szCs w:val="18"/>
          <w:lang w:val="en-US"/>
        </w:rPr>
        <w:t>Stock</w:t>
      </w:r>
      <w:r>
        <w:rPr>
          <w:rFonts w:ascii="Arial" w:hAnsi="Arial" w:cs="Arial"/>
          <w:b/>
          <w:noProof/>
          <w:sz w:val="18"/>
          <w:szCs w:val="18"/>
          <w:lang w:val="cs-CZ"/>
        </w:rPr>
        <w:t xml:space="preserve">: </w:t>
      </w:r>
      <w:r>
        <w:rPr>
          <w:rFonts w:ascii="Arial" w:hAnsi="Arial" w:cs="Arial"/>
          <w:noProof/>
          <w:sz w:val="18"/>
          <w:szCs w:val="18"/>
          <w:lang w:val="cs-CZ"/>
        </w:rPr>
        <w:t>Tota</w:t>
      </w:r>
      <w:r>
        <w:rPr>
          <w:rFonts w:ascii="Arial" w:hAnsi="Arial" w:cs="Arial"/>
          <w:sz w:val="18"/>
          <w:szCs w:val="18"/>
        </w:rPr>
        <w:t>l completed office space (occupied and vacant), newly built since 1992 or refurbished, A and B class offices, owner occupied and for lease. Public authorities’ buildings and buildings with leasable area lower than 800 sq m are excluded.</w:t>
      </w:r>
    </w:p>
    <w:p w:rsidR="009A6382" w:rsidRDefault="009A6382" w:rsidP="009A6382">
      <w:pPr>
        <w:spacing w:before="120" w:after="120"/>
        <w:jc w:val="both"/>
        <w:outlineLvl w:val="0"/>
        <w:rPr>
          <w:rFonts w:ascii="Arial" w:hAnsi="Arial" w:cs="Arial"/>
          <w:noProof/>
          <w:sz w:val="18"/>
          <w:szCs w:val="18"/>
          <w:lang w:val="en-US"/>
        </w:rPr>
      </w:pPr>
      <w:r>
        <w:rPr>
          <w:rFonts w:ascii="Arial" w:hAnsi="Arial" w:cs="Arial"/>
          <w:b/>
          <w:noProof/>
          <w:sz w:val="18"/>
          <w:szCs w:val="18"/>
          <w:lang w:val="en-US"/>
        </w:rPr>
        <w:t xml:space="preserve">New supply: </w:t>
      </w:r>
      <w:r>
        <w:rPr>
          <w:rFonts w:ascii="Arial" w:hAnsi="Arial" w:cs="Arial"/>
          <w:noProof/>
          <w:sz w:val="18"/>
          <w:szCs w:val="18"/>
          <w:lang w:val="en-US"/>
        </w:rPr>
        <w:t>Completed newly built or refurbished buildings that obtained a use permit in the given period.</w:t>
      </w:r>
    </w:p>
    <w:p w:rsidR="009A6382" w:rsidRPr="003C774A" w:rsidRDefault="009A6382" w:rsidP="009A6382">
      <w:pPr>
        <w:outlineLvl w:val="0"/>
        <w:rPr>
          <w:rFonts w:ascii="Arial" w:hAnsi="Arial" w:cs="Arial"/>
          <w:noProof/>
          <w:sz w:val="18"/>
          <w:szCs w:val="18"/>
          <w:lang w:val="en-US"/>
        </w:rPr>
      </w:pPr>
      <w:r w:rsidRPr="00D300BA">
        <w:rPr>
          <w:rFonts w:ascii="Arial" w:hAnsi="Arial" w:cs="Arial"/>
          <w:b/>
          <w:bCs/>
        </w:rPr>
        <w:t xml:space="preserve">A </w:t>
      </w:r>
      <w:smartTag w:uri="urn:schemas-microsoft-com:office:smarttags" w:element="place">
        <w:smartTag w:uri="urn:schemas-microsoft-com:office:smarttags" w:element="PlaceName">
          <w:smartTag w:uri="urn:schemas-microsoft-com:office:smarttags" w:element="PlaceName">
            <w:r w:rsidRPr="00D300BA">
              <w:rPr>
                <w:rFonts w:ascii="Arial" w:hAnsi="Arial" w:cs="Arial"/>
                <w:b/>
                <w:bCs/>
              </w:rPr>
              <w:t>Class</w:t>
            </w:r>
          </w:smartTag>
          <w:r w:rsidRPr="00D300BA">
            <w:rPr>
              <w:rFonts w:ascii="Arial" w:hAnsi="Arial" w:cs="Arial"/>
              <w:b/>
              <w:bCs/>
            </w:rPr>
            <w:t xml:space="preserve"> </w:t>
          </w:r>
          <w:smartTag w:uri="urn:schemas-microsoft-com:office:smarttags" w:element="PlaceName">
            <w:r w:rsidRPr="00D300BA">
              <w:rPr>
                <w:rFonts w:ascii="Arial" w:hAnsi="Arial" w:cs="Arial"/>
                <w:b/>
                <w:bCs/>
              </w:rPr>
              <w:t>Office</w:t>
            </w:r>
          </w:smartTag>
          <w:r w:rsidRPr="00D300BA">
            <w:rPr>
              <w:rFonts w:ascii="Arial" w:hAnsi="Arial" w:cs="Arial"/>
              <w:b/>
              <w:bCs/>
            </w:rPr>
            <w:t xml:space="preserve"> </w:t>
          </w:r>
          <w:smartTag w:uri="urn:schemas-microsoft-com:office:smarttags" w:element="PlaceType">
            <w:r w:rsidRPr="00D300BA">
              <w:rPr>
                <w:rFonts w:ascii="Arial" w:hAnsi="Arial" w:cs="Arial"/>
                <w:b/>
                <w:bCs/>
              </w:rPr>
              <w:t>Building</w:t>
            </w:r>
          </w:smartTag>
        </w:smartTag>
      </w:smartTag>
      <w:r w:rsidRPr="00D300BA">
        <w:rPr>
          <w:rFonts w:ascii="Arial" w:hAnsi="Arial" w:cs="Arial"/>
          <w:b/>
          <w:bCs/>
        </w:rPr>
        <w:t>:</w:t>
      </w:r>
      <w:r>
        <w:rPr>
          <w:rFonts w:ascii="Arial" w:hAnsi="Arial" w:cs="Arial"/>
          <w:bCs/>
        </w:rPr>
        <w:t xml:space="preserve"> </w:t>
      </w:r>
      <w:r w:rsidRPr="003C774A">
        <w:rPr>
          <w:rFonts w:ascii="Arial" w:hAnsi="Arial" w:cs="Arial"/>
          <w:noProof/>
          <w:sz w:val="18"/>
          <w:szCs w:val="18"/>
          <w:lang w:val="en-US"/>
        </w:rPr>
        <w:t>To earn Class A status a building must meet at least 6 out of 7 "Hard Criteria" and 5 out of 7 "Soft Criteria".</w:t>
      </w:r>
    </w:p>
    <w:p w:rsidR="009A6382" w:rsidRPr="003C774A" w:rsidRDefault="009A6382" w:rsidP="009A6382">
      <w:pPr>
        <w:outlineLvl w:val="0"/>
        <w:rPr>
          <w:rFonts w:ascii="Arial" w:hAnsi="Arial" w:cs="Arial"/>
          <w:noProof/>
          <w:sz w:val="18"/>
          <w:szCs w:val="18"/>
          <w:lang w:val="en-US"/>
        </w:rPr>
      </w:pPr>
    </w:p>
    <w:p w:rsidR="009A6382" w:rsidRPr="003C774A" w:rsidRDefault="009A6382" w:rsidP="009A6382">
      <w:pPr>
        <w:outlineLvl w:val="0"/>
        <w:rPr>
          <w:rFonts w:ascii="Arial" w:hAnsi="Arial" w:cs="Arial"/>
          <w:noProof/>
          <w:sz w:val="18"/>
          <w:szCs w:val="18"/>
          <w:lang w:val="en-US"/>
        </w:rPr>
      </w:pPr>
      <w:r w:rsidRPr="003C774A">
        <w:rPr>
          <w:rFonts w:ascii="Arial" w:hAnsi="Arial" w:cs="Arial"/>
          <w:b/>
          <w:noProof/>
          <w:sz w:val="18"/>
          <w:szCs w:val="18"/>
          <w:lang w:val="en-US"/>
        </w:rPr>
        <w:t xml:space="preserve">B </w:t>
      </w:r>
      <w:smartTag w:uri="urn:schemas-microsoft-com:office:smarttags" w:element="place">
        <w:smartTag w:uri="urn:schemas-microsoft-com:office:smarttags" w:element="PlaceName">
          <w:smartTag w:uri="urn:schemas-microsoft-com:office:smarttags" w:element="PlaceName">
            <w:r w:rsidRPr="003C774A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Class</w:t>
            </w:r>
          </w:smartTag>
          <w:r w:rsidRPr="003C774A">
            <w:rPr>
              <w:rFonts w:ascii="Arial" w:hAnsi="Arial" w:cs="Arial"/>
              <w:b/>
              <w:noProof/>
              <w:sz w:val="18"/>
              <w:szCs w:val="18"/>
              <w:lang w:val="en-US"/>
            </w:rPr>
            <w:t xml:space="preserve"> </w:t>
          </w:r>
          <w:smartTag w:uri="urn:schemas-microsoft-com:office:smarttags" w:element="PlaceName">
            <w:smartTag w:uri="urn:schemas-microsoft-com:office:smarttags" w:element="PlaceType">
              <w:r w:rsidRPr="003C774A">
                <w:rPr>
                  <w:rFonts w:ascii="Arial" w:hAnsi="Arial" w:cs="Arial"/>
                  <w:b/>
                  <w:noProof/>
                  <w:sz w:val="18"/>
                  <w:szCs w:val="18"/>
                  <w:lang w:val="en-US"/>
                </w:rPr>
                <w:t>Office</w:t>
              </w:r>
            </w:smartTag>
          </w:smartTag>
          <w:r w:rsidRPr="003C774A">
            <w:rPr>
              <w:rFonts w:ascii="Arial" w:hAnsi="Arial" w:cs="Arial"/>
              <w:b/>
              <w:noProof/>
              <w:sz w:val="18"/>
              <w:szCs w:val="18"/>
              <w:lang w:val="en-US"/>
            </w:rPr>
            <w:t xml:space="preserve"> </w:t>
          </w:r>
          <w:smartTag w:uri="urn:schemas-microsoft-com:office:smarttags" w:element="PlaceType">
            <w:r w:rsidRPr="003C774A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Building</w:t>
            </w:r>
          </w:smartTag>
        </w:smartTag>
      </w:smartTag>
      <w:r w:rsidRPr="003C774A">
        <w:rPr>
          <w:rFonts w:ascii="Arial" w:hAnsi="Arial" w:cs="Arial"/>
          <w:b/>
          <w:noProof/>
          <w:sz w:val="18"/>
          <w:szCs w:val="18"/>
          <w:lang w:val="en-US"/>
        </w:rPr>
        <w:t>:</w:t>
      </w:r>
      <w:r w:rsidRPr="003C774A">
        <w:rPr>
          <w:rFonts w:ascii="Arial" w:hAnsi="Arial" w:cs="Arial"/>
          <w:noProof/>
          <w:sz w:val="18"/>
          <w:szCs w:val="18"/>
          <w:lang w:val="en-US"/>
        </w:rPr>
        <w:t xml:space="preserve"> To earn Class B status a building must meet at least 2 out of 7 "Hard Criteria" and 4 out of 7 "Soft Criteria".</w:t>
      </w:r>
    </w:p>
    <w:p w:rsidR="009A6382" w:rsidRPr="00D300BA" w:rsidRDefault="009A6382" w:rsidP="009A6382">
      <w:pPr>
        <w:outlineLvl w:val="0"/>
        <w:rPr>
          <w:rFonts w:ascii="Arial" w:hAnsi="Arial" w:cs="Arial"/>
          <w:bCs/>
        </w:rPr>
      </w:pPr>
    </w:p>
    <w:p w:rsidR="009A6382" w:rsidRPr="002D0D86" w:rsidRDefault="009A6382" w:rsidP="009A6382">
      <w:pPr>
        <w:jc w:val="both"/>
        <w:outlineLvl w:val="0"/>
        <w:rPr>
          <w:rFonts w:ascii="Arial" w:hAnsi="Arial" w:cs="Arial"/>
          <w:sz w:val="18"/>
          <w:szCs w:val="18"/>
          <w:lang w:val="en-US"/>
        </w:rPr>
      </w:pPr>
      <w:r w:rsidRPr="002D0D86">
        <w:rPr>
          <w:rFonts w:ascii="Arial" w:hAnsi="Arial" w:cs="Arial"/>
          <w:b/>
          <w:sz w:val="18"/>
          <w:szCs w:val="18"/>
          <w:lang w:val="en-US"/>
        </w:rPr>
        <w:t xml:space="preserve">Take-up: </w:t>
      </w:r>
      <w:r w:rsidRPr="002D0D86">
        <w:rPr>
          <w:rFonts w:ascii="Arial" w:hAnsi="Arial" w:cs="Arial"/>
          <w:sz w:val="18"/>
          <w:szCs w:val="18"/>
          <w:lang w:val="en-US"/>
        </w:rPr>
        <w:t>A gross figure representing the total floor space known to have been let or pre-let, sold or pre-sold to tenants or owner-occupiers over a specified period of time. It does not include space that is under offer. A property is taken up when the contract is signed. Total take-up includes renegotiations</w:t>
      </w:r>
      <w:r>
        <w:rPr>
          <w:rFonts w:ascii="Arial" w:hAnsi="Arial" w:cs="Arial"/>
          <w:sz w:val="18"/>
          <w:szCs w:val="18"/>
          <w:lang w:val="en-US"/>
        </w:rPr>
        <w:t xml:space="preserve">, </w:t>
      </w:r>
      <w:r w:rsidRPr="002D0D86">
        <w:rPr>
          <w:rFonts w:ascii="Arial" w:hAnsi="Arial" w:cs="Arial"/>
          <w:sz w:val="18"/>
          <w:szCs w:val="18"/>
          <w:lang w:val="en-US"/>
        </w:rPr>
        <w:t>lease extension</w:t>
      </w:r>
      <w:r>
        <w:rPr>
          <w:rFonts w:ascii="Arial" w:hAnsi="Arial" w:cs="Arial"/>
          <w:sz w:val="18"/>
          <w:szCs w:val="18"/>
          <w:lang w:val="en-US"/>
        </w:rPr>
        <w:t xml:space="preserve"> and subleases</w:t>
      </w:r>
      <w:r w:rsidRPr="002D0D86">
        <w:rPr>
          <w:rFonts w:ascii="Arial" w:hAnsi="Arial" w:cs="Arial"/>
          <w:sz w:val="18"/>
          <w:szCs w:val="18"/>
          <w:lang w:val="en-US"/>
        </w:rPr>
        <w:t>, net take-up excludes these.</w:t>
      </w:r>
    </w:p>
    <w:p w:rsidR="009A6382" w:rsidRPr="002D0D86" w:rsidRDefault="009A6382" w:rsidP="009A6382">
      <w:pPr>
        <w:spacing w:before="120"/>
        <w:jc w:val="both"/>
        <w:outlineLvl w:val="0"/>
        <w:rPr>
          <w:rFonts w:ascii="Arial" w:hAnsi="Arial" w:cs="Arial"/>
          <w:b/>
          <w:noProof/>
          <w:sz w:val="18"/>
          <w:szCs w:val="18"/>
          <w:lang w:val="en-US"/>
        </w:rPr>
      </w:pPr>
      <w:r w:rsidRPr="002D0D86">
        <w:rPr>
          <w:rFonts w:ascii="Arial" w:hAnsi="Arial" w:cs="Arial"/>
          <w:b/>
          <w:noProof/>
          <w:sz w:val="18"/>
          <w:szCs w:val="18"/>
          <w:lang w:val="en-US"/>
        </w:rPr>
        <w:t xml:space="preserve">Pre-lease: </w:t>
      </w:r>
      <w:r w:rsidRPr="002D0D86">
        <w:rPr>
          <w:rFonts w:ascii="Arial" w:hAnsi="Arial" w:cs="Arial"/>
          <w:color w:val="000000"/>
          <w:sz w:val="18"/>
          <w:szCs w:val="18"/>
          <w:lang w:val="en-US" w:eastAsia="cs-CZ"/>
        </w:rPr>
        <w:t>Active pre-leasing for an office building begins as soon as preliminary design drawings are ready to show to prospective tenants. Pre-leasing occurs until the start of construction.</w:t>
      </w:r>
    </w:p>
    <w:p w:rsidR="009A6382" w:rsidRDefault="009A6382" w:rsidP="009A6382">
      <w:pPr>
        <w:spacing w:before="120" w:after="120"/>
        <w:jc w:val="both"/>
        <w:outlineLvl w:val="0"/>
        <w:rPr>
          <w:rFonts w:ascii="Arial" w:hAnsi="Arial" w:cs="Arial"/>
          <w:noProof/>
          <w:sz w:val="18"/>
          <w:szCs w:val="18"/>
          <w:lang w:val="en-US"/>
        </w:rPr>
      </w:pPr>
      <w:r w:rsidRPr="002D0D86">
        <w:rPr>
          <w:rFonts w:ascii="Arial" w:hAnsi="Arial" w:cs="Arial"/>
          <w:b/>
          <w:noProof/>
          <w:sz w:val="18"/>
          <w:szCs w:val="18"/>
          <w:lang w:val="en-US"/>
        </w:rPr>
        <w:t>Vacancy rate:</w:t>
      </w:r>
      <w:r w:rsidRPr="002D0D86">
        <w:rPr>
          <w:rFonts w:ascii="Arial" w:hAnsi="Arial" w:cs="Arial"/>
          <w:noProof/>
          <w:sz w:val="18"/>
          <w:szCs w:val="18"/>
          <w:lang w:val="en-US"/>
        </w:rPr>
        <w:t xml:space="preserve"> Ratio of physically vacant space in completed buildings on the total stock.</w:t>
      </w:r>
    </w:p>
    <w:p w:rsidR="001A12A5" w:rsidRDefault="001A12A5" w:rsidP="001A12A5">
      <w:pPr>
        <w:jc w:val="both"/>
        <w:rPr>
          <w:rFonts w:ascii="Arial" w:hAnsi="Arial" w:cs="Arial"/>
          <w:sz w:val="18"/>
          <w:szCs w:val="18"/>
          <w:lang w:val="en-US"/>
        </w:rPr>
      </w:pPr>
      <w:r w:rsidRPr="00082DA1">
        <w:rPr>
          <w:rFonts w:ascii="Arial" w:hAnsi="Arial" w:cs="Arial"/>
          <w:b/>
          <w:sz w:val="18"/>
          <w:szCs w:val="18"/>
          <w:lang w:val="en-US"/>
        </w:rPr>
        <w:t>Prime rent:</w:t>
      </w:r>
      <w:r w:rsidRPr="00082DA1">
        <w:rPr>
          <w:rFonts w:ascii="Arial" w:hAnsi="Arial" w:cs="Arial"/>
          <w:sz w:val="18"/>
          <w:szCs w:val="18"/>
          <w:lang w:val="en-US"/>
        </w:rPr>
        <w:t xml:space="preserve"> Achieved rents that relate to new prime, high specification units in prime locations.</w:t>
      </w:r>
      <w:r w:rsidRPr="002D0D86">
        <w:rPr>
          <w:rFonts w:ascii="Arial" w:hAnsi="Arial" w:cs="Arial"/>
          <w:sz w:val="18"/>
          <w:szCs w:val="18"/>
          <w:lang w:val="en-US"/>
        </w:rPr>
        <w:t xml:space="preserve"> </w:t>
      </w:r>
    </w:p>
    <w:p w:rsidR="009A6382" w:rsidRDefault="009A6382" w:rsidP="009A6382">
      <w:pPr>
        <w:outlineLvl w:val="0"/>
        <w:rPr>
          <w:rFonts w:ascii="Arial" w:hAnsi="Arial" w:cs="Arial"/>
          <w:bCs/>
          <w:color w:val="000000"/>
          <w:sz w:val="18"/>
          <w:szCs w:val="18"/>
          <w:lang w:val="cs-CZ"/>
        </w:rPr>
      </w:pPr>
    </w:p>
    <w:p w:rsidR="001A12A5" w:rsidRDefault="001A12A5" w:rsidP="009A6382">
      <w:pPr>
        <w:outlineLvl w:val="0"/>
        <w:rPr>
          <w:rFonts w:ascii="Arial" w:hAnsi="Arial" w:cs="Arial"/>
          <w:bCs/>
          <w:color w:val="000000"/>
          <w:sz w:val="18"/>
          <w:szCs w:val="18"/>
          <w:lang w:val="cs-CZ"/>
        </w:rPr>
      </w:pPr>
    </w:p>
    <w:p w:rsidR="00B53F4A" w:rsidRDefault="00B53F4A" w:rsidP="009A6382">
      <w:pPr>
        <w:outlineLvl w:val="0"/>
        <w:rPr>
          <w:rFonts w:ascii="Arial" w:hAnsi="Arial" w:cs="Arial"/>
          <w:bCs/>
          <w:color w:val="000000"/>
          <w:sz w:val="18"/>
          <w:szCs w:val="18"/>
          <w:lang w:val="cs-CZ"/>
        </w:rPr>
      </w:pPr>
    </w:p>
    <w:p w:rsidR="00B53F4A" w:rsidRPr="00D75FA4" w:rsidRDefault="00B53F4A" w:rsidP="009A6382">
      <w:pPr>
        <w:outlineLvl w:val="0"/>
        <w:rPr>
          <w:rFonts w:ascii="Arial" w:hAnsi="Arial" w:cs="Arial"/>
          <w:bCs/>
          <w:color w:val="000000"/>
          <w:sz w:val="18"/>
          <w:szCs w:val="18"/>
          <w:lang w:val="cs-CZ"/>
        </w:rPr>
      </w:pPr>
    </w:p>
    <w:p w:rsidR="009A6382" w:rsidRPr="00EB7981" w:rsidRDefault="009A6382" w:rsidP="009A6382">
      <w:pPr>
        <w:autoSpaceDE w:val="0"/>
        <w:autoSpaceDN w:val="0"/>
        <w:spacing w:after="20"/>
        <w:rPr>
          <w:rFonts w:ascii="Arial" w:hAnsi="Arial" w:cs="Arial"/>
          <w:b/>
          <w:bCs/>
          <w:lang w:val="cs-CZ"/>
        </w:rPr>
      </w:pPr>
      <w:r w:rsidRPr="00EB7981">
        <w:rPr>
          <w:rFonts w:ascii="Arial" w:hAnsi="Arial" w:cs="Arial"/>
          <w:b/>
          <w:bCs/>
          <w:lang w:val="cs-CZ"/>
        </w:rPr>
        <w:t xml:space="preserve">COPYRIGHT © </w:t>
      </w:r>
      <w:r>
        <w:rPr>
          <w:rFonts w:ascii="Arial" w:hAnsi="Arial" w:cs="Arial"/>
          <w:b/>
          <w:bCs/>
          <w:lang w:val="cs-CZ"/>
        </w:rPr>
        <w:t>Regional</w:t>
      </w:r>
      <w:r w:rsidRPr="00EB7981">
        <w:rPr>
          <w:rFonts w:ascii="Arial" w:hAnsi="Arial" w:cs="Arial"/>
          <w:b/>
          <w:bCs/>
          <w:lang w:val="cs-CZ"/>
        </w:rPr>
        <w:t xml:space="preserve"> Research Forum </w:t>
      </w:r>
      <w:r w:rsidRPr="002731B2">
        <w:rPr>
          <w:rFonts w:ascii="Arial" w:hAnsi="Arial" w:cs="Arial"/>
          <w:b/>
          <w:bCs/>
          <w:lang w:val="cs-CZ"/>
        </w:rPr>
        <w:t>201</w:t>
      </w:r>
      <w:r w:rsidR="002731B2" w:rsidRPr="002731B2">
        <w:rPr>
          <w:rFonts w:ascii="Arial" w:hAnsi="Arial" w:cs="Arial"/>
          <w:b/>
          <w:bCs/>
          <w:lang w:val="cs-CZ"/>
        </w:rPr>
        <w:t>4</w:t>
      </w:r>
    </w:p>
    <w:p w:rsidR="00710C2A" w:rsidRPr="00CA0BBC" w:rsidRDefault="009A6382" w:rsidP="0044417A">
      <w:pPr>
        <w:autoSpaceDE w:val="0"/>
        <w:autoSpaceDN w:val="0"/>
        <w:adjustRightInd w:val="0"/>
        <w:spacing w:after="20"/>
        <w:jc w:val="both"/>
        <w:rPr>
          <w:rFonts w:ascii="Arial" w:hAnsi="Arial" w:cs="Arial"/>
          <w:b/>
          <w:lang w:val="cs-CZ" w:eastAsia="cs-CZ"/>
        </w:rPr>
      </w:pPr>
      <w:r w:rsidRPr="00583E45">
        <w:rPr>
          <w:rFonts w:ascii="Arial" w:hAnsi="Arial" w:cs="Arial"/>
          <w:lang w:val="cs-CZ" w:eastAsia="cs-CZ"/>
        </w:rPr>
        <w:t xml:space="preserve">This publication is the property of The </w:t>
      </w:r>
      <w:r>
        <w:rPr>
          <w:rFonts w:ascii="Arial" w:hAnsi="Arial" w:cs="Arial"/>
          <w:lang w:val="cs-CZ" w:eastAsia="cs-CZ"/>
        </w:rPr>
        <w:t>Regional</w:t>
      </w:r>
      <w:r w:rsidRPr="00583E45">
        <w:rPr>
          <w:rFonts w:ascii="Arial" w:hAnsi="Arial" w:cs="Arial"/>
          <w:lang w:val="cs-CZ" w:eastAsia="cs-CZ"/>
        </w:rPr>
        <w:t xml:space="preserve"> Research Forum (members: CB</w:t>
      </w:r>
      <w:r w:rsidR="001A12A5">
        <w:rPr>
          <w:rFonts w:ascii="Arial" w:hAnsi="Arial" w:cs="Arial"/>
          <w:lang w:val="cs-CZ" w:eastAsia="cs-CZ"/>
        </w:rPr>
        <w:t>RE</w:t>
      </w:r>
      <w:r w:rsidRPr="00583E45">
        <w:rPr>
          <w:rFonts w:ascii="Arial" w:hAnsi="Arial" w:cs="Arial"/>
          <w:lang w:val="cs-CZ" w:eastAsia="cs-CZ"/>
        </w:rPr>
        <w:t xml:space="preserve">, </w:t>
      </w:r>
      <w:r w:rsidR="00AC6952">
        <w:rPr>
          <w:rFonts w:ascii="Arial" w:hAnsi="Arial" w:cs="Arial"/>
          <w:lang w:val="cs-CZ" w:eastAsia="cs-CZ"/>
        </w:rPr>
        <w:t xml:space="preserve">Colliers International, </w:t>
      </w:r>
      <w:r w:rsidRPr="00583E45">
        <w:rPr>
          <w:rFonts w:ascii="Arial" w:hAnsi="Arial" w:cs="Arial"/>
          <w:lang w:val="cs-CZ" w:eastAsia="cs-CZ"/>
        </w:rPr>
        <w:t>Cushman &amp; Wakefield, DTZ</w:t>
      </w:r>
      <w:r w:rsidR="001A12A5">
        <w:rPr>
          <w:rFonts w:ascii="Arial" w:hAnsi="Arial" w:cs="Arial"/>
          <w:lang w:val="cs-CZ" w:eastAsia="cs-CZ"/>
        </w:rPr>
        <w:t xml:space="preserve"> and</w:t>
      </w:r>
      <w:r w:rsidR="00131BF3">
        <w:rPr>
          <w:rFonts w:ascii="Arial" w:hAnsi="Arial" w:cs="Arial"/>
          <w:lang w:val="cs-CZ" w:eastAsia="cs-CZ"/>
        </w:rPr>
        <w:t xml:space="preserve"> JLL</w:t>
      </w:r>
      <w:r w:rsidRPr="00583E45">
        <w:rPr>
          <w:rFonts w:ascii="Arial" w:hAnsi="Arial" w:cs="Arial"/>
          <w:lang w:val="cs-CZ" w:eastAsia="cs-CZ"/>
        </w:rPr>
        <w:t xml:space="preserve"> and cannot be copied, reproduced </w:t>
      </w:r>
      <w:r w:rsidRPr="00583E45">
        <w:rPr>
          <w:rFonts w:ascii="Arial" w:hAnsi="Arial" w:cs="Arial"/>
          <w:lang w:eastAsia="cs-CZ"/>
        </w:rPr>
        <w:t>or</w:t>
      </w:r>
      <w:r w:rsidRPr="00583E45">
        <w:rPr>
          <w:rFonts w:ascii="Arial" w:hAnsi="Arial" w:cs="Arial"/>
          <w:lang w:val="cs-CZ" w:eastAsia="cs-CZ"/>
        </w:rPr>
        <w:t xml:space="preserve"> redistributed in any form or by any means</w:t>
      </w:r>
      <w:r w:rsidRPr="00583E45">
        <w:rPr>
          <w:rFonts w:ascii="Arial" w:hAnsi="Arial" w:cs="Arial"/>
          <w:lang w:eastAsia="cs-CZ"/>
        </w:rPr>
        <w:t>,</w:t>
      </w:r>
      <w:r w:rsidRPr="00583E45">
        <w:rPr>
          <w:rFonts w:ascii="Arial" w:hAnsi="Arial" w:cs="Arial"/>
          <w:lang w:val="cs-CZ" w:eastAsia="cs-CZ"/>
        </w:rPr>
        <w:t xml:space="preserve"> either as </w:t>
      </w:r>
      <w:r w:rsidRPr="00583E45">
        <w:rPr>
          <w:rFonts w:ascii="Arial" w:hAnsi="Arial" w:cs="Arial"/>
          <w:lang w:eastAsia="cs-CZ"/>
        </w:rPr>
        <w:t xml:space="preserve">a </w:t>
      </w:r>
      <w:r w:rsidRPr="00583E45">
        <w:rPr>
          <w:rFonts w:ascii="Arial" w:hAnsi="Arial" w:cs="Arial"/>
          <w:lang w:val="cs-CZ" w:eastAsia="cs-CZ"/>
        </w:rPr>
        <w:t xml:space="preserve">part or whole, without </w:t>
      </w:r>
      <w:r w:rsidRPr="00583E45">
        <w:rPr>
          <w:rFonts w:ascii="Arial" w:hAnsi="Arial" w:cs="Arial"/>
          <w:lang w:eastAsia="cs-CZ"/>
        </w:rPr>
        <w:t>quoting</w:t>
      </w:r>
      <w:r w:rsidRPr="00583E45">
        <w:rPr>
          <w:rFonts w:ascii="Arial" w:hAnsi="Arial" w:cs="Arial"/>
          <w:lang w:val="cs-CZ" w:eastAsia="cs-CZ"/>
        </w:rPr>
        <w:t xml:space="preserve"> </w:t>
      </w:r>
      <w:r w:rsidRPr="00583E45">
        <w:rPr>
          <w:rFonts w:ascii="Arial" w:hAnsi="Arial" w:cs="Arial"/>
          <w:lang w:eastAsia="cs-CZ"/>
        </w:rPr>
        <w:t xml:space="preserve">the </w:t>
      </w:r>
      <w:r w:rsidR="007A15A4">
        <w:rPr>
          <w:rFonts w:ascii="Arial" w:hAnsi="Arial" w:cs="Arial"/>
          <w:lang w:val="cs-CZ" w:eastAsia="cs-CZ"/>
        </w:rPr>
        <w:t>Regional</w:t>
      </w:r>
      <w:r w:rsidRPr="00583E45">
        <w:rPr>
          <w:rFonts w:ascii="Arial" w:hAnsi="Arial" w:cs="Arial"/>
          <w:lang w:val="cs-CZ" w:eastAsia="cs-CZ"/>
        </w:rPr>
        <w:t xml:space="preserve"> Research Forum as </w:t>
      </w:r>
      <w:r w:rsidRPr="00583E45">
        <w:rPr>
          <w:rFonts w:ascii="Arial" w:hAnsi="Arial" w:cs="Arial"/>
          <w:lang w:eastAsia="cs-CZ"/>
        </w:rPr>
        <w:t>the</w:t>
      </w:r>
      <w:r>
        <w:rPr>
          <w:rFonts w:ascii="Arial" w:hAnsi="Arial" w:cs="Arial"/>
          <w:lang w:val="cs-CZ" w:eastAsia="cs-CZ"/>
        </w:rPr>
        <w:t xml:space="preserve"> </w:t>
      </w:r>
      <w:r w:rsidRPr="00583E45">
        <w:rPr>
          <w:rFonts w:ascii="Arial" w:hAnsi="Arial" w:cs="Arial"/>
          <w:lang w:val="cs-CZ" w:eastAsia="cs-CZ"/>
        </w:rPr>
        <w:t>information source. The information contained in this publication ha</w:t>
      </w:r>
      <w:r w:rsidRPr="00583E45">
        <w:rPr>
          <w:rFonts w:ascii="Arial" w:hAnsi="Arial" w:cs="Arial"/>
          <w:lang w:eastAsia="cs-CZ"/>
        </w:rPr>
        <w:t>s</w:t>
      </w:r>
      <w:r w:rsidRPr="00583E45">
        <w:rPr>
          <w:rFonts w:ascii="Arial" w:hAnsi="Arial" w:cs="Arial"/>
          <w:lang w:val="cs-CZ" w:eastAsia="cs-CZ"/>
        </w:rPr>
        <w:t xml:space="preserve"> been obtained from sources considered reliable. However, we do not guarantee the accuracy of the information. Please inform us about the uncertainties, so we can </w:t>
      </w:r>
      <w:r w:rsidRPr="00583E45">
        <w:rPr>
          <w:rFonts w:ascii="Arial" w:hAnsi="Arial" w:cs="Arial"/>
          <w:lang w:eastAsia="cs-CZ"/>
        </w:rPr>
        <w:t>correct</w:t>
      </w:r>
      <w:r w:rsidRPr="00583E45">
        <w:rPr>
          <w:rFonts w:ascii="Arial" w:hAnsi="Arial" w:cs="Arial"/>
          <w:lang w:val="cs-CZ" w:eastAsia="cs-CZ"/>
        </w:rPr>
        <w:t xml:space="preserve"> it. </w:t>
      </w:r>
      <w:r w:rsidR="007A15A4">
        <w:rPr>
          <w:rFonts w:ascii="Arial" w:hAnsi="Arial" w:cs="Arial"/>
          <w:lang w:val="cs-CZ" w:eastAsia="cs-CZ"/>
        </w:rPr>
        <w:t>Regional</w:t>
      </w:r>
      <w:r w:rsidRPr="00583E45">
        <w:rPr>
          <w:rFonts w:ascii="Arial" w:hAnsi="Arial" w:cs="Arial"/>
          <w:lang w:val="cs-CZ" w:eastAsia="cs-CZ"/>
        </w:rPr>
        <w:t xml:space="preserve"> Research Forum does not bind itself to liability for damage or loss caused by any unintentional inaccuracies in this report.</w:t>
      </w:r>
    </w:p>
    <w:sectPr w:rsidR="00710C2A" w:rsidRPr="00CA0BBC" w:rsidSect="0044417A">
      <w:footerReference w:type="default" r:id="rId10"/>
      <w:pgSz w:w="11906" w:h="16838" w:code="9"/>
      <w:pgMar w:top="719" w:right="746" w:bottom="851" w:left="720" w:header="709" w:footer="45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3553" w:rsidRDefault="00763553" w:rsidP="0044417A">
      <w:r>
        <w:separator/>
      </w:r>
    </w:p>
  </w:endnote>
  <w:endnote w:type="continuationSeparator" w:id="0">
    <w:p w:rsidR="00763553" w:rsidRDefault="00763553" w:rsidP="00444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77E" w:rsidRDefault="00BE077E" w:rsidP="0044417A">
    <w:pPr>
      <w:pStyle w:val="Zpat"/>
      <w:jc w:val="center"/>
    </w:pPr>
    <w:r>
      <w:rPr>
        <w:rFonts w:ascii="Arial" w:hAnsi="Arial" w:cs="Arial"/>
        <w:b/>
        <w:noProof/>
        <w:lang w:val="en-US"/>
      </w:rPr>
      <w:t xml:space="preserve">For </w:t>
    </w:r>
    <w:r>
      <w:rPr>
        <w:rFonts w:ascii="Arial" w:hAnsi="Arial" w:cs="Arial"/>
        <w:b/>
        <w:bCs/>
        <w:noProof/>
        <w:color w:val="000000"/>
        <w:sz w:val="18"/>
        <w:szCs w:val="18"/>
        <w:lang w:val="en-US"/>
      </w:rPr>
      <w:t xml:space="preserve">further information please contact any member of the </w:t>
    </w:r>
    <w:smartTag w:uri="urn:schemas-microsoft-com:office:smarttags" w:element="PlaceType">
      <w:smartTag w:uri="urn:schemas-microsoft-com:office:smarttags" w:element="City">
        <w:smartTag w:uri="urn:schemas-microsoft-com:office:smarttags" w:element="place">
          <w:r>
            <w:rPr>
              <w:rFonts w:ascii="Arial" w:hAnsi="Arial" w:cs="Arial"/>
              <w:b/>
              <w:bCs/>
              <w:noProof/>
              <w:color w:val="000000"/>
              <w:sz w:val="18"/>
              <w:szCs w:val="18"/>
              <w:lang w:val="en-US"/>
            </w:rPr>
            <w:t>Prague</w:t>
          </w:r>
        </w:smartTag>
      </w:smartTag>
    </w:smartTag>
    <w:r>
      <w:rPr>
        <w:rFonts w:ascii="Arial" w:hAnsi="Arial" w:cs="Arial"/>
        <w:b/>
        <w:bCs/>
        <w:noProof/>
        <w:color w:val="000000"/>
        <w:sz w:val="18"/>
        <w:szCs w:val="18"/>
        <w:lang w:val="en-US"/>
      </w:rPr>
      <w:t xml:space="preserve"> Research Forum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3553" w:rsidRDefault="00763553" w:rsidP="0044417A">
      <w:r>
        <w:separator/>
      </w:r>
    </w:p>
  </w:footnote>
  <w:footnote w:type="continuationSeparator" w:id="0">
    <w:p w:rsidR="00763553" w:rsidRDefault="00763553" w:rsidP="004441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CE30B3"/>
    <w:multiLevelType w:val="hybridMultilevel"/>
    <w:tmpl w:val="ECF662CE"/>
    <w:lvl w:ilvl="0" w:tplc="08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0997563"/>
    <w:multiLevelType w:val="hybridMultilevel"/>
    <w:tmpl w:val="4E543AEA"/>
    <w:lvl w:ilvl="0" w:tplc="08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DA8"/>
    <w:rsid w:val="000006BC"/>
    <w:rsid w:val="00022D5B"/>
    <w:rsid w:val="00033559"/>
    <w:rsid w:val="000419D3"/>
    <w:rsid w:val="000423D9"/>
    <w:rsid w:val="0004385E"/>
    <w:rsid w:val="000452AD"/>
    <w:rsid w:val="000603DF"/>
    <w:rsid w:val="00064FA0"/>
    <w:rsid w:val="0006684F"/>
    <w:rsid w:val="000707F3"/>
    <w:rsid w:val="00072157"/>
    <w:rsid w:val="00082DA1"/>
    <w:rsid w:val="00095A53"/>
    <w:rsid w:val="00097EDA"/>
    <w:rsid w:val="000A4BD1"/>
    <w:rsid w:val="000B598B"/>
    <w:rsid w:val="000B78A2"/>
    <w:rsid w:val="000C5201"/>
    <w:rsid w:val="000C6717"/>
    <w:rsid w:val="000D6CC3"/>
    <w:rsid w:val="000F095A"/>
    <w:rsid w:val="00102649"/>
    <w:rsid w:val="0010749F"/>
    <w:rsid w:val="0011537C"/>
    <w:rsid w:val="00131BF3"/>
    <w:rsid w:val="001368E2"/>
    <w:rsid w:val="00140F64"/>
    <w:rsid w:val="001479F0"/>
    <w:rsid w:val="00150C8B"/>
    <w:rsid w:val="0015291A"/>
    <w:rsid w:val="0016001B"/>
    <w:rsid w:val="00161333"/>
    <w:rsid w:val="00161A1F"/>
    <w:rsid w:val="001642B5"/>
    <w:rsid w:val="001678A6"/>
    <w:rsid w:val="00173BA0"/>
    <w:rsid w:val="00180B11"/>
    <w:rsid w:val="00182185"/>
    <w:rsid w:val="00191427"/>
    <w:rsid w:val="001A0F1C"/>
    <w:rsid w:val="001A12A5"/>
    <w:rsid w:val="001B5EE1"/>
    <w:rsid w:val="001C3017"/>
    <w:rsid w:val="001C73C6"/>
    <w:rsid w:val="001D391F"/>
    <w:rsid w:val="001D736C"/>
    <w:rsid w:val="002103A8"/>
    <w:rsid w:val="002130B2"/>
    <w:rsid w:val="00221051"/>
    <w:rsid w:val="00224E3B"/>
    <w:rsid w:val="00236E04"/>
    <w:rsid w:val="002370FC"/>
    <w:rsid w:val="002629F4"/>
    <w:rsid w:val="0027232A"/>
    <w:rsid w:val="002731B2"/>
    <w:rsid w:val="002874E1"/>
    <w:rsid w:val="002A03FC"/>
    <w:rsid w:val="002A3816"/>
    <w:rsid w:val="002B28FB"/>
    <w:rsid w:val="002D0D86"/>
    <w:rsid w:val="002E295E"/>
    <w:rsid w:val="00302DC7"/>
    <w:rsid w:val="00304DB6"/>
    <w:rsid w:val="00313044"/>
    <w:rsid w:val="0031418A"/>
    <w:rsid w:val="003249F0"/>
    <w:rsid w:val="00337CED"/>
    <w:rsid w:val="00343CB5"/>
    <w:rsid w:val="00346DF6"/>
    <w:rsid w:val="0035094F"/>
    <w:rsid w:val="00365F51"/>
    <w:rsid w:val="003676B7"/>
    <w:rsid w:val="00371B4B"/>
    <w:rsid w:val="00371F90"/>
    <w:rsid w:val="003776FB"/>
    <w:rsid w:val="003777C5"/>
    <w:rsid w:val="0038632D"/>
    <w:rsid w:val="00387193"/>
    <w:rsid w:val="003908F2"/>
    <w:rsid w:val="003B1308"/>
    <w:rsid w:val="003B4A0B"/>
    <w:rsid w:val="003B70F5"/>
    <w:rsid w:val="003C4F25"/>
    <w:rsid w:val="003C68E2"/>
    <w:rsid w:val="003C774A"/>
    <w:rsid w:val="003D5246"/>
    <w:rsid w:val="003D572A"/>
    <w:rsid w:val="003E2A3E"/>
    <w:rsid w:val="003F06B4"/>
    <w:rsid w:val="003F2740"/>
    <w:rsid w:val="004034DC"/>
    <w:rsid w:val="00411EFD"/>
    <w:rsid w:val="00412B27"/>
    <w:rsid w:val="004237EC"/>
    <w:rsid w:val="00431B19"/>
    <w:rsid w:val="004377A1"/>
    <w:rsid w:val="00442B82"/>
    <w:rsid w:val="0044417A"/>
    <w:rsid w:val="00446079"/>
    <w:rsid w:val="00453971"/>
    <w:rsid w:val="00454397"/>
    <w:rsid w:val="004601DC"/>
    <w:rsid w:val="00462CD4"/>
    <w:rsid w:val="00481706"/>
    <w:rsid w:val="004830DB"/>
    <w:rsid w:val="004B2CF7"/>
    <w:rsid w:val="004B53FE"/>
    <w:rsid w:val="004C1C3F"/>
    <w:rsid w:val="004D46A1"/>
    <w:rsid w:val="004E0F10"/>
    <w:rsid w:val="004F063C"/>
    <w:rsid w:val="004F273C"/>
    <w:rsid w:val="00510DAF"/>
    <w:rsid w:val="005254E0"/>
    <w:rsid w:val="00525BAA"/>
    <w:rsid w:val="00533DF1"/>
    <w:rsid w:val="00537502"/>
    <w:rsid w:val="005464CB"/>
    <w:rsid w:val="00555A03"/>
    <w:rsid w:val="00561C5B"/>
    <w:rsid w:val="00564BAC"/>
    <w:rsid w:val="00571E3F"/>
    <w:rsid w:val="00572D43"/>
    <w:rsid w:val="005879F9"/>
    <w:rsid w:val="00592F02"/>
    <w:rsid w:val="00596241"/>
    <w:rsid w:val="005A5DA8"/>
    <w:rsid w:val="005B05E9"/>
    <w:rsid w:val="005B23C3"/>
    <w:rsid w:val="005C0DBD"/>
    <w:rsid w:val="005C5B63"/>
    <w:rsid w:val="005C6B1F"/>
    <w:rsid w:val="005D2C2A"/>
    <w:rsid w:val="005D4E24"/>
    <w:rsid w:val="005E2868"/>
    <w:rsid w:val="005F461E"/>
    <w:rsid w:val="005F6FF9"/>
    <w:rsid w:val="006018A1"/>
    <w:rsid w:val="00605893"/>
    <w:rsid w:val="00622D01"/>
    <w:rsid w:val="0062684C"/>
    <w:rsid w:val="00636262"/>
    <w:rsid w:val="00643324"/>
    <w:rsid w:val="006439F9"/>
    <w:rsid w:val="006541FF"/>
    <w:rsid w:val="006827FD"/>
    <w:rsid w:val="006A1A92"/>
    <w:rsid w:val="006C65D7"/>
    <w:rsid w:val="006D07ED"/>
    <w:rsid w:val="006D53AA"/>
    <w:rsid w:val="006E05AF"/>
    <w:rsid w:val="006E2CCA"/>
    <w:rsid w:val="006F05A1"/>
    <w:rsid w:val="00710C2A"/>
    <w:rsid w:val="0071577C"/>
    <w:rsid w:val="00716275"/>
    <w:rsid w:val="00722853"/>
    <w:rsid w:val="0072467D"/>
    <w:rsid w:val="00763553"/>
    <w:rsid w:val="0076458D"/>
    <w:rsid w:val="00766592"/>
    <w:rsid w:val="00770CBE"/>
    <w:rsid w:val="007733FB"/>
    <w:rsid w:val="00780DED"/>
    <w:rsid w:val="00783306"/>
    <w:rsid w:val="00783C10"/>
    <w:rsid w:val="007A089E"/>
    <w:rsid w:val="007A15A4"/>
    <w:rsid w:val="007A5863"/>
    <w:rsid w:val="007B2060"/>
    <w:rsid w:val="007B60B3"/>
    <w:rsid w:val="007C34AE"/>
    <w:rsid w:val="007C37D6"/>
    <w:rsid w:val="007D5C6A"/>
    <w:rsid w:val="007E4BD5"/>
    <w:rsid w:val="007F22F9"/>
    <w:rsid w:val="0080514C"/>
    <w:rsid w:val="0080691E"/>
    <w:rsid w:val="008148D1"/>
    <w:rsid w:val="008463E0"/>
    <w:rsid w:val="00847288"/>
    <w:rsid w:val="00847309"/>
    <w:rsid w:val="00854231"/>
    <w:rsid w:val="00863552"/>
    <w:rsid w:val="00866E5F"/>
    <w:rsid w:val="008679DC"/>
    <w:rsid w:val="00874FA4"/>
    <w:rsid w:val="008941B1"/>
    <w:rsid w:val="008A37D0"/>
    <w:rsid w:val="008B1275"/>
    <w:rsid w:val="008B6CD7"/>
    <w:rsid w:val="008C4C31"/>
    <w:rsid w:val="008F52C4"/>
    <w:rsid w:val="00904FB2"/>
    <w:rsid w:val="009326CB"/>
    <w:rsid w:val="00935330"/>
    <w:rsid w:val="00944A22"/>
    <w:rsid w:val="00963F6E"/>
    <w:rsid w:val="00967C9E"/>
    <w:rsid w:val="00980BEC"/>
    <w:rsid w:val="009925EA"/>
    <w:rsid w:val="00995DFB"/>
    <w:rsid w:val="00996091"/>
    <w:rsid w:val="009A6382"/>
    <w:rsid w:val="009C71AA"/>
    <w:rsid w:val="009D4856"/>
    <w:rsid w:val="009E3CB7"/>
    <w:rsid w:val="009F163E"/>
    <w:rsid w:val="009F3621"/>
    <w:rsid w:val="00A007B1"/>
    <w:rsid w:val="00A05506"/>
    <w:rsid w:val="00A24B00"/>
    <w:rsid w:val="00A41B1F"/>
    <w:rsid w:val="00A5457E"/>
    <w:rsid w:val="00A63F45"/>
    <w:rsid w:val="00A65D01"/>
    <w:rsid w:val="00A8266A"/>
    <w:rsid w:val="00A900CC"/>
    <w:rsid w:val="00AA7D47"/>
    <w:rsid w:val="00AC182E"/>
    <w:rsid w:val="00AC6952"/>
    <w:rsid w:val="00AE3B43"/>
    <w:rsid w:val="00AE517E"/>
    <w:rsid w:val="00AF6BCC"/>
    <w:rsid w:val="00B03343"/>
    <w:rsid w:val="00B05463"/>
    <w:rsid w:val="00B14B88"/>
    <w:rsid w:val="00B16A4D"/>
    <w:rsid w:val="00B2129D"/>
    <w:rsid w:val="00B26F87"/>
    <w:rsid w:val="00B36D1D"/>
    <w:rsid w:val="00B446CD"/>
    <w:rsid w:val="00B533C3"/>
    <w:rsid w:val="00B53F4A"/>
    <w:rsid w:val="00B5695E"/>
    <w:rsid w:val="00B637D5"/>
    <w:rsid w:val="00B82955"/>
    <w:rsid w:val="00B85758"/>
    <w:rsid w:val="00B85898"/>
    <w:rsid w:val="00B90303"/>
    <w:rsid w:val="00B9427D"/>
    <w:rsid w:val="00BA0035"/>
    <w:rsid w:val="00BA0151"/>
    <w:rsid w:val="00BA5A99"/>
    <w:rsid w:val="00BB0E42"/>
    <w:rsid w:val="00BB0F1B"/>
    <w:rsid w:val="00BC0E45"/>
    <w:rsid w:val="00BD5979"/>
    <w:rsid w:val="00BE077E"/>
    <w:rsid w:val="00BE5096"/>
    <w:rsid w:val="00BE556B"/>
    <w:rsid w:val="00BF2928"/>
    <w:rsid w:val="00BF7883"/>
    <w:rsid w:val="00C0307B"/>
    <w:rsid w:val="00C1555D"/>
    <w:rsid w:val="00C2081A"/>
    <w:rsid w:val="00C2168D"/>
    <w:rsid w:val="00C2496B"/>
    <w:rsid w:val="00C25162"/>
    <w:rsid w:val="00C265ED"/>
    <w:rsid w:val="00C273A9"/>
    <w:rsid w:val="00C33590"/>
    <w:rsid w:val="00C46AB2"/>
    <w:rsid w:val="00C55042"/>
    <w:rsid w:val="00C570AF"/>
    <w:rsid w:val="00C92F9A"/>
    <w:rsid w:val="00C9761C"/>
    <w:rsid w:val="00C97EA2"/>
    <w:rsid w:val="00CA0BBC"/>
    <w:rsid w:val="00CA2BBE"/>
    <w:rsid w:val="00CB516F"/>
    <w:rsid w:val="00CC00E1"/>
    <w:rsid w:val="00CD619E"/>
    <w:rsid w:val="00CF45DE"/>
    <w:rsid w:val="00D15457"/>
    <w:rsid w:val="00D165E3"/>
    <w:rsid w:val="00D24C3D"/>
    <w:rsid w:val="00D27195"/>
    <w:rsid w:val="00D300BA"/>
    <w:rsid w:val="00D36D3A"/>
    <w:rsid w:val="00D44DEC"/>
    <w:rsid w:val="00D45D38"/>
    <w:rsid w:val="00D47CA1"/>
    <w:rsid w:val="00D47FB4"/>
    <w:rsid w:val="00D562F1"/>
    <w:rsid w:val="00D65B27"/>
    <w:rsid w:val="00D733BA"/>
    <w:rsid w:val="00D749CE"/>
    <w:rsid w:val="00DA13C8"/>
    <w:rsid w:val="00DC0CCE"/>
    <w:rsid w:val="00DC7390"/>
    <w:rsid w:val="00DE7793"/>
    <w:rsid w:val="00E021B7"/>
    <w:rsid w:val="00E07C0D"/>
    <w:rsid w:val="00E2027F"/>
    <w:rsid w:val="00E20A85"/>
    <w:rsid w:val="00E301A3"/>
    <w:rsid w:val="00E35608"/>
    <w:rsid w:val="00E51D20"/>
    <w:rsid w:val="00E53E8F"/>
    <w:rsid w:val="00E6514D"/>
    <w:rsid w:val="00EC3652"/>
    <w:rsid w:val="00EC4973"/>
    <w:rsid w:val="00ED727F"/>
    <w:rsid w:val="00EF3E19"/>
    <w:rsid w:val="00F01CB6"/>
    <w:rsid w:val="00F06D46"/>
    <w:rsid w:val="00F12E13"/>
    <w:rsid w:val="00F15828"/>
    <w:rsid w:val="00F16241"/>
    <w:rsid w:val="00F4073A"/>
    <w:rsid w:val="00F45B5B"/>
    <w:rsid w:val="00F54230"/>
    <w:rsid w:val="00F6211A"/>
    <w:rsid w:val="00F63A98"/>
    <w:rsid w:val="00F644E4"/>
    <w:rsid w:val="00F769D3"/>
    <w:rsid w:val="00F81CC6"/>
    <w:rsid w:val="00FA59F2"/>
    <w:rsid w:val="00FB0BD4"/>
    <w:rsid w:val="00FC5F67"/>
    <w:rsid w:val="00FC6D7F"/>
    <w:rsid w:val="00FE4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7733FB"/>
    <w:rPr>
      <w:rFonts w:eastAsia="Times New Roman"/>
      <w:lang w:val="en-GB" w:eastAsia="en-US"/>
    </w:rPr>
  </w:style>
  <w:style w:type="paragraph" w:styleId="Nadpis1">
    <w:name w:val="heading 1"/>
    <w:basedOn w:val="Normln"/>
    <w:next w:val="Normln"/>
    <w:qFormat/>
    <w:rsid w:val="00710C2A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7733FB"/>
    <w:pPr>
      <w:tabs>
        <w:tab w:val="center" w:pos="4153"/>
        <w:tab w:val="right" w:pos="8306"/>
      </w:tabs>
    </w:pPr>
  </w:style>
  <w:style w:type="table" w:styleId="Mkatabulky">
    <w:name w:val="Table Grid"/>
    <w:basedOn w:val="Normlntabulka"/>
    <w:rsid w:val="007733FB"/>
    <w:rPr>
      <w:rFonts w:eastAsia="Times New Roman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71577C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71577C"/>
    <w:rPr>
      <w:sz w:val="16"/>
      <w:szCs w:val="16"/>
    </w:rPr>
  </w:style>
  <w:style w:type="paragraph" w:styleId="Textkomente">
    <w:name w:val="annotation text"/>
    <w:basedOn w:val="Normln"/>
    <w:semiHidden/>
    <w:rsid w:val="0071577C"/>
  </w:style>
  <w:style w:type="paragraph" w:styleId="Pedmtkomente">
    <w:name w:val="annotation subject"/>
    <w:basedOn w:val="Textkomente"/>
    <w:next w:val="Textkomente"/>
    <w:semiHidden/>
    <w:rsid w:val="0071577C"/>
    <w:rPr>
      <w:b/>
      <w:bCs/>
    </w:rPr>
  </w:style>
  <w:style w:type="paragraph" w:styleId="Revize">
    <w:name w:val="Revision"/>
    <w:hidden/>
    <w:uiPriority w:val="99"/>
    <w:semiHidden/>
    <w:rsid w:val="000C5201"/>
    <w:rPr>
      <w:rFonts w:eastAsia="Times New Roman"/>
      <w:lang w:val="en-GB" w:eastAsia="en-US"/>
    </w:rPr>
  </w:style>
  <w:style w:type="paragraph" w:styleId="Zpat">
    <w:name w:val="footer"/>
    <w:basedOn w:val="Normln"/>
    <w:link w:val="ZpatChar"/>
    <w:rsid w:val="0044417A"/>
    <w:pPr>
      <w:tabs>
        <w:tab w:val="center" w:pos="4513"/>
        <w:tab w:val="right" w:pos="9026"/>
      </w:tabs>
    </w:pPr>
  </w:style>
  <w:style w:type="character" w:customStyle="1" w:styleId="ZpatChar">
    <w:name w:val="Zápatí Char"/>
    <w:basedOn w:val="Standardnpsmoodstavce"/>
    <w:link w:val="Zpat"/>
    <w:rsid w:val="0044417A"/>
    <w:rPr>
      <w:rFonts w:eastAsia="Times New Roman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7733FB"/>
    <w:rPr>
      <w:rFonts w:eastAsia="Times New Roman"/>
      <w:lang w:val="en-GB" w:eastAsia="en-US"/>
    </w:rPr>
  </w:style>
  <w:style w:type="paragraph" w:styleId="Nadpis1">
    <w:name w:val="heading 1"/>
    <w:basedOn w:val="Normln"/>
    <w:next w:val="Normln"/>
    <w:qFormat/>
    <w:rsid w:val="00710C2A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7733FB"/>
    <w:pPr>
      <w:tabs>
        <w:tab w:val="center" w:pos="4153"/>
        <w:tab w:val="right" w:pos="8306"/>
      </w:tabs>
    </w:pPr>
  </w:style>
  <w:style w:type="table" w:styleId="Mkatabulky">
    <w:name w:val="Table Grid"/>
    <w:basedOn w:val="Normlntabulka"/>
    <w:rsid w:val="007733FB"/>
    <w:rPr>
      <w:rFonts w:eastAsia="Times New Roman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71577C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71577C"/>
    <w:rPr>
      <w:sz w:val="16"/>
      <w:szCs w:val="16"/>
    </w:rPr>
  </w:style>
  <w:style w:type="paragraph" w:styleId="Textkomente">
    <w:name w:val="annotation text"/>
    <w:basedOn w:val="Normln"/>
    <w:semiHidden/>
    <w:rsid w:val="0071577C"/>
  </w:style>
  <w:style w:type="paragraph" w:styleId="Pedmtkomente">
    <w:name w:val="annotation subject"/>
    <w:basedOn w:val="Textkomente"/>
    <w:next w:val="Textkomente"/>
    <w:semiHidden/>
    <w:rsid w:val="0071577C"/>
    <w:rPr>
      <w:b/>
      <w:bCs/>
    </w:rPr>
  </w:style>
  <w:style w:type="paragraph" w:styleId="Revize">
    <w:name w:val="Revision"/>
    <w:hidden/>
    <w:uiPriority w:val="99"/>
    <w:semiHidden/>
    <w:rsid w:val="000C5201"/>
    <w:rPr>
      <w:rFonts w:eastAsia="Times New Roman"/>
      <w:lang w:val="en-GB" w:eastAsia="en-US"/>
    </w:rPr>
  </w:style>
  <w:style w:type="paragraph" w:styleId="Zpat">
    <w:name w:val="footer"/>
    <w:basedOn w:val="Normln"/>
    <w:link w:val="ZpatChar"/>
    <w:rsid w:val="0044417A"/>
    <w:pPr>
      <w:tabs>
        <w:tab w:val="center" w:pos="4513"/>
        <w:tab w:val="right" w:pos="9026"/>
      </w:tabs>
    </w:pPr>
  </w:style>
  <w:style w:type="character" w:customStyle="1" w:styleId="ZpatChar">
    <w:name w:val="Zápatí Char"/>
    <w:basedOn w:val="Standardnpsmoodstavce"/>
    <w:link w:val="Zpat"/>
    <w:rsid w:val="0044417A"/>
    <w:rPr>
      <w:rFonts w:eastAsia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8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659BA3-8586-47C4-B525-5423A3054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727</Words>
  <Characters>4294</Characters>
  <Application>Microsoft Office Word</Application>
  <DocSecurity>4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Jones Lang LaSalle</Company>
  <LinksUpToDate>false</LinksUpToDate>
  <CharactersWithSpaces>5011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Kopačková Dagmar - TZB-info</cp:lastModifiedBy>
  <cp:revision>2</cp:revision>
  <cp:lastPrinted>2014-02-04T09:02:00Z</cp:lastPrinted>
  <dcterms:created xsi:type="dcterms:W3CDTF">2014-08-05T14:34:00Z</dcterms:created>
  <dcterms:modified xsi:type="dcterms:W3CDTF">2014-08-05T14:34:00Z</dcterms:modified>
</cp:coreProperties>
</file>